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DFE371">
      <w:pPr>
        <w:pStyle w:val="26"/>
        <w:spacing w:before="0" w:beforeAutospacing="0" w:after="0" w:afterAutospacing="0" w:line="600" w:lineRule="exact"/>
        <w:rPr>
          <w:rFonts w:hint="eastAsia" w:ascii="仿宋_GB2312" w:hAnsi="仿宋_GB2312" w:eastAsia="仿宋_GB2312"/>
          <w:b/>
          <w:bCs/>
          <w:color w:val="000000" w:themeColor="text1"/>
          <w:sz w:val="32"/>
          <w:szCs w:val="32"/>
          <w14:textFill>
            <w14:solidFill>
              <w14:schemeClr w14:val="tx1"/>
            </w14:solidFill>
          </w14:textFill>
        </w:rPr>
      </w:pPr>
      <w:bookmarkStart w:id="0" w:name="_Hlk194072231"/>
      <w:r>
        <w:rPr>
          <w:rFonts w:hint="eastAsia" w:ascii="仿宋_GB2312" w:hAnsi="仿宋_GB2312" w:eastAsia="仿宋_GB2312"/>
          <w:b/>
          <w:bCs/>
          <w:color w:val="000000" w:themeColor="text1"/>
          <w:sz w:val="32"/>
          <w:szCs w:val="32"/>
          <w14:textFill>
            <w14:solidFill>
              <w14:schemeClr w14:val="tx1"/>
            </w14:solidFill>
          </w14:textFill>
        </w:rPr>
        <w:t>附件1：</w:t>
      </w:r>
    </w:p>
    <w:p w14:paraId="3EEC9998">
      <w:pPr>
        <w:pStyle w:val="26"/>
        <w:spacing w:before="0" w:beforeAutospacing="0" w:after="0" w:afterAutospacing="0" w:line="600" w:lineRule="exact"/>
        <w:jc w:val="center"/>
        <w:rPr>
          <w:rFonts w:hint="eastAsia" w:ascii="方正小标宋简体" w:hAnsi="方正小标宋简体" w:eastAsia="方正小标宋简体"/>
          <w:color w:val="000000" w:themeColor="text1"/>
          <w:sz w:val="44"/>
          <w:szCs w:val="44"/>
          <w14:textFill>
            <w14:solidFill>
              <w14:schemeClr w14:val="tx1"/>
            </w14:solidFill>
          </w14:textFill>
        </w:rPr>
      </w:pPr>
    </w:p>
    <w:p w14:paraId="472EE329">
      <w:pPr>
        <w:pStyle w:val="26"/>
        <w:spacing w:before="0" w:beforeAutospacing="0" w:after="0" w:afterAutospacing="0" w:line="600" w:lineRule="exact"/>
        <w:jc w:val="center"/>
        <w:rPr>
          <w:rFonts w:hint="eastAsia" w:ascii="方正小标宋简体" w:hAnsi="方正小标宋简体" w:eastAsia="方正小标宋简体"/>
          <w:color w:val="000000" w:themeColor="text1"/>
          <w:sz w:val="44"/>
          <w:szCs w:val="44"/>
          <w14:textFill>
            <w14:solidFill>
              <w14:schemeClr w14:val="tx1"/>
            </w14:solidFill>
          </w14:textFill>
        </w:rPr>
      </w:pPr>
      <w:bookmarkStart w:id="11" w:name="_GoBack"/>
      <w:r>
        <w:rPr>
          <w:rFonts w:hint="eastAsia" w:ascii="方正小标宋简体" w:hAnsi="方正小标宋简体" w:eastAsia="方正小标宋简体"/>
          <w:color w:val="000000" w:themeColor="text1"/>
          <w:sz w:val="44"/>
          <w:szCs w:val="44"/>
          <w:lang w:val="en-US" w:eastAsia="zh-CN"/>
          <w14:textFill>
            <w14:solidFill>
              <w14:schemeClr w14:val="tx1"/>
            </w14:solidFill>
          </w14:textFill>
        </w:rPr>
        <w:t>鄂尔多斯市</w:t>
      </w:r>
      <w:r>
        <w:rPr>
          <w:rFonts w:hint="eastAsia" w:ascii="方正小标宋简体" w:hAnsi="方正小标宋简体" w:eastAsia="方正小标宋简体"/>
          <w:color w:val="000000" w:themeColor="text1"/>
          <w:sz w:val="44"/>
          <w:szCs w:val="44"/>
          <w14:textFill>
            <w14:solidFill>
              <w14:schemeClr w14:val="tx1"/>
            </w14:solidFill>
          </w14:textFill>
        </w:rPr>
        <w:t>能源行业优化服务依法监管的</w:t>
      </w:r>
    </w:p>
    <w:p w14:paraId="4B00CB1E">
      <w:pPr>
        <w:pStyle w:val="26"/>
        <w:spacing w:before="0" w:beforeAutospacing="0" w:after="0" w:afterAutospacing="0" w:line="600" w:lineRule="exact"/>
        <w:jc w:val="center"/>
        <w:rPr>
          <w:rFonts w:hint="eastAsia" w:ascii="仿宋_GB2312" w:hAnsi="仿宋_GB2312" w:eastAsia="仿宋_GB2312"/>
          <w:color w:val="000000" w:themeColor="text1"/>
          <w:sz w:val="32"/>
          <w:szCs w:val="32"/>
          <w14:textFill>
            <w14:solidFill>
              <w14:schemeClr w14:val="tx1"/>
            </w14:solidFill>
          </w14:textFill>
        </w:rPr>
      </w:pPr>
      <w:r>
        <w:rPr>
          <w:rFonts w:hint="eastAsia" w:ascii="方正小标宋简体" w:hAnsi="方正小标宋简体" w:eastAsia="方正小标宋简体"/>
          <w:color w:val="000000" w:themeColor="text1"/>
          <w:sz w:val="44"/>
          <w:szCs w:val="44"/>
          <w14:textFill>
            <w14:solidFill>
              <w14:schemeClr w14:val="tx1"/>
            </w14:solidFill>
          </w14:textFill>
        </w:rPr>
        <w:t>若干措施（暂行）</w:t>
      </w:r>
      <w:bookmarkEnd w:id="0"/>
      <w:bookmarkEnd w:id="11"/>
      <w:bookmarkStart w:id="1" w:name="OLE_LINK18"/>
    </w:p>
    <w:p w14:paraId="695DF318">
      <w:pPr>
        <w:pStyle w:val="24"/>
        <w:spacing w:before="0" w:beforeAutospacing="0" w:after="0" w:afterAutospacing="0" w:line="360" w:lineRule="auto"/>
        <w:ind w:firstLine="640" w:firstLineChars="200"/>
        <w:jc w:val="both"/>
        <w:rPr>
          <w:rFonts w:hint="eastAsia" w:ascii="仿宋_GB2312" w:hAnsi="仿宋_GB2312" w:eastAsia="仿宋_GB2312"/>
          <w:color w:val="000000" w:themeColor="text1"/>
          <w:sz w:val="32"/>
          <w:szCs w:val="32"/>
          <w14:textFill>
            <w14:solidFill>
              <w14:schemeClr w14:val="tx1"/>
            </w14:solidFill>
          </w14:textFill>
        </w:rPr>
      </w:pPr>
      <w:r>
        <w:rPr>
          <w:rFonts w:hint="eastAsia" w:ascii="仿宋_GB2312" w:hAnsi="仿宋_GB2312" w:eastAsia="仿宋_GB2312"/>
          <w:color w:val="000000" w:themeColor="text1"/>
          <w:sz w:val="32"/>
          <w:szCs w:val="32"/>
          <w14:textFill>
            <w14:solidFill>
              <w14:schemeClr w14:val="tx1"/>
            </w14:solidFill>
          </w14:textFill>
        </w:rPr>
        <w:t>为深入贯彻习近平总书记关于能源工作的重要论述，全面落实铸牢中华民族共同体意识主线要求，加快培育壮大现代能源经济，进一步提升能源领域监管服务水平，推动能源企业依法依规履职尽责，依据《国家能源局关于印发&lt;2025年能源监管工作要点&gt;的通知》（国能发监管〔2025〕3号）、《内蒙古自治区人民政府关于印发自治区助企行动实施方案的通知》（内政发〔2025〕5号）、《鄂尔多斯市助企行动实施方案》等工作要求，现提出如下措施。</w:t>
      </w:r>
    </w:p>
    <w:p w14:paraId="74E1BA6E">
      <w:pPr>
        <w:pStyle w:val="24"/>
        <w:spacing w:before="0" w:beforeAutospacing="0" w:after="0" w:afterAutospacing="0" w:line="360" w:lineRule="auto"/>
        <w:ind w:firstLine="640" w:firstLineChars="200"/>
        <w:jc w:val="both"/>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一、做好服务保障，推动能源行业高质量发展</w:t>
      </w:r>
    </w:p>
    <w:p w14:paraId="5BEA57C6">
      <w:pPr>
        <w:pStyle w:val="26"/>
        <w:spacing w:before="0" w:beforeAutospacing="0" w:after="0" w:afterAutospacing="0" w:line="360" w:lineRule="auto"/>
        <w:ind w:firstLine="643" w:firstLineChars="200"/>
        <w:jc w:val="both"/>
        <w:rPr>
          <w:rFonts w:hint="eastAsia" w:ascii="仿宋_GB2312" w:hAnsi="仿宋_GB2312" w:eastAsia="仿宋_GB2312"/>
          <w:color w:val="000000" w:themeColor="text1"/>
          <w:sz w:val="32"/>
          <w:szCs w:val="32"/>
          <w14:textFill>
            <w14:solidFill>
              <w14:schemeClr w14:val="tx1"/>
            </w14:solidFill>
          </w14:textFill>
        </w:rPr>
      </w:pPr>
      <w:bookmarkStart w:id="2" w:name="OLE_LINK6"/>
      <w:r>
        <w:rPr>
          <w:rFonts w:hint="eastAsia" w:ascii="楷体_GB2312" w:hAnsi="楷体_GB2312" w:eastAsia="楷体_GB2312"/>
          <w:b/>
          <w:bCs/>
          <w:color w:val="000000" w:themeColor="text1"/>
          <w:sz w:val="32"/>
          <w:szCs w:val="32"/>
          <w14:textFill>
            <w14:solidFill>
              <w14:schemeClr w14:val="tx1"/>
            </w14:solidFill>
          </w14:textFill>
        </w:rPr>
        <w:t>（一）强化涉企服务。</w:t>
      </w:r>
      <w:r>
        <w:rPr>
          <w:rFonts w:hint="eastAsia" w:ascii="仿宋_GB2312" w:hAnsi="仿宋_GB2312" w:eastAsia="仿宋_GB2312"/>
          <w:color w:val="000000" w:themeColor="text1"/>
          <w:sz w:val="32"/>
          <w:szCs w:val="32"/>
          <w14:textFill>
            <w14:solidFill>
              <w14:schemeClr w14:val="tx1"/>
            </w14:solidFill>
          </w14:textFill>
        </w:rPr>
        <w:t>持续优化能源行业营商环境，切实增强服务意识，秉持“服务企业就是服务发展”的理念，不断在政务服务、项目审批、手续办理、行政监督、金融支持等方面优化审批流程，加强要素保障，以高水平服务助力能源企业高质量发展。（责任部门：市能源局、市应急管理局、市自然资源局、市生态环境局、市林草局、市发展和改革委员会、市财政局、市政数局,各旗区人民政府）</w:t>
      </w:r>
    </w:p>
    <w:bookmarkEnd w:id="2"/>
    <w:p w14:paraId="44D64436">
      <w:pPr>
        <w:pStyle w:val="26"/>
        <w:spacing w:before="0" w:beforeAutospacing="0" w:after="0" w:afterAutospacing="0" w:line="360" w:lineRule="auto"/>
        <w:ind w:firstLine="643" w:firstLineChars="200"/>
        <w:jc w:val="both"/>
        <w:rPr>
          <w:rFonts w:hint="eastAsia" w:ascii="楷体_GB2312" w:hAnsi="楷体_GB2312" w:eastAsia="楷体_GB2312"/>
          <w:b/>
          <w:bCs/>
          <w:color w:val="000000" w:themeColor="text1"/>
          <w:sz w:val="32"/>
          <w:szCs w:val="32"/>
          <w14:textFill>
            <w14:solidFill>
              <w14:schemeClr w14:val="tx1"/>
            </w14:solidFill>
          </w14:textFill>
        </w:rPr>
      </w:pPr>
      <w:r>
        <w:rPr>
          <w:rFonts w:hint="eastAsia" w:ascii="楷体_GB2312" w:hAnsi="楷体_GB2312" w:eastAsia="楷体_GB2312"/>
          <w:b/>
          <w:bCs/>
          <w:color w:val="000000" w:themeColor="text1"/>
          <w:sz w:val="32"/>
          <w:szCs w:val="32"/>
          <w14:textFill>
            <w14:solidFill>
              <w14:schemeClr w14:val="tx1"/>
            </w14:solidFill>
          </w14:textFill>
        </w:rPr>
        <w:t>（二）规范涉企监督。</w:t>
      </w:r>
      <w:r>
        <w:rPr>
          <w:rFonts w:hint="eastAsia" w:ascii="仿宋_GB2312" w:hAnsi="仿宋_GB2312" w:eastAsia="仿宋_GB2312"/>
          <w:color w:val="000000" w:themeColor="text1"/>
          <w:sz w:val="32"/>
          <w:szCs w:val="32"/>
          <w:lang w:bidi="ar"/>
          <w14:textFill>
            <w14:solidFill>
              <w14:schemeClr w14:val="tx1"/>
            </w14:solidFill>
          </w14:textFill>
        </w:rPr>
        <w:t>落实《鄂尔多斯市人民政府关于印发鄂尔多斯市严格规范涉企行政检查为企业减负六条措施（试行）的通知》（鄂府发〔2025〕3号），</w:t>
      </w:r>
      <w:r>
        <w:rPr>
          <w:rFonts w:hint="eastAsia" w:ascii="仿宋_GB2312" w:hAnsi="仿宋_GB2312" w:eastAsia="仿宋_GB2312"/>
          <w:color w:val="000000" w:themeColor="text1"/>
          <w:sz w:val="32"/>
          <w:szCs w:val="32"/>
          <w14:textFill>
            <w14:solidFill>
              <w14:schemeClr w14:val="tx1"/>
            </w14:solidFill>
          </w14:textFill>
        </w:rPr>
        <w:t>秉持无事不扰的原则，推行“综合查一次”，减少检查频次，提高检查质效，切实减轻企业负担。（责任部门：市能源局、市应急管理局、市生态环境局、市林草局，各旗区人民政府）</w:t>
      </w:r>
    </w:p>
    <w:p w14:paraId="1AC71D21">
      <w:pPr>
        <w:pStyle w:val="26"/>
        <w:spacing w:before="0" w:beforeAutospacing="0" w:after="0" w:afterAutospacing="0" w:line="360" w:lineRule="auto"/>
        <w:ind w:firstLine="643" w:firstLineChars="200"/>
        <w:jc w:val="both"/>
        <w:rPr>
          <w:rFonts w:hint="eastAsia" w:ascii="仿宋_GB2312" w:hAnsi="仿宋_GB2312" w:eastAsia="仿宋_GB2312"/>
          <w:color w:val="000000" w:themeColor="text1"/>
          <w:sz w:val="32"/>
          <w:szCs w:val="32"/>
          <w:highlight w:val="yellow"/>
          <w14:textFill>
            <w14:solidFill>
              <w14:schemeClr w14:val="tx1"/>
            </w14:solidFill>
          </w14:textFill>
        </w:rPr>
      </w:pPr>
      <w:r>
        <w:rPr>
          <w:rFonts w:hint="eastAsia" w:ascii="楷体_GB2312" w:hAnsi="楷体_GB2312" w:eastAsia="楷体_GB2312"/>
          <w:b/>
          <w:bCs/>
          <w:color w:val="000000" w:themeColor="text1"/>
          <w:sz w:val="32"/>
          <w:szCs w:val="32"/>
          <w14:textFill>
            <w14:solidFill>
              <w14:schemeClr w14:val="tx1"/>
            </w14:solidFill>
          </w14:textFill>
        </w:rPr>
        <w:t>（三）推动政策落地。</w:t>
      </w:r>
      <w:r>
        <w:rPr>
          <w:rFonts w:hint="eastAsia" w:ascii="仿宋_GB2312" w:hAnsi="仿宋_GB2312" w:eastAsia="仿宋_GB2312"/>
          <w:color w:val="000000" w:themeColor="text1"/>
          <w:sz w:val="32"/>
          <w:szCs w:val="32"/>
          <w14:textFill>
            <w14:solidFill>
              <w14:schemeClr w14:val="tx1"/>
            </w14:solidFill>
          </w14:textFill>
        </w:rPr>
        <w:t>能源主管部门要做好能源领域政策推广和宣传，每季度召开一次政策解读会，国家出台的最新政策要第一时间进行解读，做到精准滴灌、全面落实，确保能源企业充分享受政策红利。（责任部门：市能源局、市自然资源局、市生态环境局、市林草局、市水利局，各旗区人民政府）</w:t>
      </w:r>
    </w:p>
    <w:p w14:paraId="304F84AE">
      <w:pPr>
        <w:pStyle w:val="24"/>
        <w:spacing w:before="0" w:beforeAutospacing="0" w:after="0" w:afterAutospacing="0" w:line="360" w:lineRule="auto"/>
        <w:ind w:firstLine="640" w:firstLineChars="200"/>
        <w:jc w:val="both"/>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二、抓好源头管控，加强能源项目审批监管</w:t>
      </w:r>
    </w:p>
    <w:p w14:paraId="5C1EB068">
      <w:pPr>
        <w:pStyle w:val="26"/>
        <w:spacing w:before="0" w:beforeAutospacing="0" w:after="0" w:afterAutospacing="0" w:line="360" w:lineRule="auto"/>
        <w:ind w:firstLine="643" w:firstLineChars="200"/>
        <w:jc w:val="both"/>
        <w:rPr>
          <w:rFonts w:hint="eastAsia" w:ascii="楷体_GB2312" w:hAnsi="楷体_GB2312" w:eastAsia="楷体_GB2312"/>
          <w:b/>
          <w:bCs/>
          <w:color w:val="000000" w:themeColor="text1"/>
          <w:sz w:val="32"/>
          <w:szCs w:val="32"/>
          <w14:textFill>
            <w14:solidFill>
              <w14:schemeClr w14:val="tx1"/>
            </w14:solidFill>
          </w14:textFill>
        </w:rPr>
      </w:pPr>
      <w:bookmarkStart w:id="3" w:name="OLE_LINK7"/>
      <w:r>
        <w:rPr>
          <w:rFonts w:hint="eastAsia" w:ascii="楷体_GB2312" w:hAnsi="楷体_GB2312" w:eastAsia="楷体_GB2312"/>
          <w:b/>
          <w:bCs/>
          <w:color w:val="000000" w:themeColor="text1"/>
          <w:sz w:val="32"/>
          <w:szCs w:val="32"/>
          <w14:textFill>
            <w14:solidFill>
              <w14:schemeClr w14:val="tx1"/>
            </w14:solidFill>
          </w14:textFill>
        </w:rPr>
        <w:t>（四）严守政策底线。</w:t>
      </w:r>
      <w:bookmarkStart w:id="4" w:name="OLE_LINK3"/>
      <w:r>
        <w:rPr>
          <w:rFonts w:hint="eastAsia" w:ascii="仿宋_GB2312" w:hAnsi="仿宋_GB2312" w:eastAsia="仿宋_GB2312"/>
          <w:color w:val="000000" w:themeColor="text1"/>
          <w:sz w:val="32"/>
          <w:szCs w:val="32"/>
          <w14:textFill>
            <w14:solidFill>
              <w14:schemeClr w14:val="tx1"/>
            </w14:solidFill>
          </w14:textFill>
        </w:rPr>
        <w:t>能源项目应严格将法律、行政法规和国家及自治区制定的发展规划、产业政策、总量控制目标、技术政策、准入标准、用地政策、环保政策、信贷政策等，作为企业前期工作的重要依据，</w:t>
      </w:r>
      <w:r>
        <w:rPr>
          <w:rFonts w:hint="eastAsia" w:ascii="仿宋_GB2312" w:hAnsi="仿宋_GB2312" w:eastAsia="仿宋_GB2312"/>
          <w:color w:val="000000" w:themeColor="text1"/>
          <w:sz w:val="32"/>
          <w:szCs w:val="32"/>
          <w:lang w:val="en-US" w:eastAsia="zh-CN"/>
          <w14:textFill>
            <w14:solidFill>
              <w14:schemeClr w14:val="tx1"/>
            </w14:solidFill>
          </w14:textFill>
        </w:rPr>
        <w:t>同时</w:t>
      </w:r>
      <w:r>
        <w:rPr>
          <w:rFonts w:hint="eastAsia" w:ascii="仿宋_GB2312" w:hAnsi="仿宋_GB2312" w:eastAsia="仿宋_GB2312"/>
          <w:color w:val="000000" w:themeColor="text1"/>
          <w:sz w:val="32"/>
          <w:szCs w:val="32"/>
          <w14:textFill>
            <w14:solidFill>
              <w14:schemeClr w14:val="tx1"/>
            </w14:solidFill>
          </w14:textFill>
        </w:rPr>
        <w:t>作为核准机关、国土资源、环境保护、城乡规划、行业管理等部门以及金融机构对项目审查的依据</w:t>
      </w:r>
      <w:bookmarkEnd w:id="4"/>
      <w:r>
        <w:rPr>
          <w:rFonts w:hint="eastAsia" w:ascii="仿宋_GB2312" w:hAnsi="仿宋_GB2312" w:eastAsia="仿宋_GB2312"/>
          <w:color w:val="000000" w:themeColor="text1"/>
          <w:sz w:val="32"/>
          <w:szCs w:val="32"/>
          <w14:textFill>
            <w14:solidFill>
              <w14:schemeClr w14:val="tx1"/>
            </w14:solidFill>
          </w14:textFill>
        </w:rPr>
        <w:t>，确保项目的合法性和合规性。（责任部门：市能源局、市应急管理局、市自然资源局、市生态环境局、市林草局、市发展和改革委员会、市水利局、市文化和旅游局、市财政局，各旗区人民政府）</w:t>
      </w:r>
      <w:bookmarkEnd w:id="3"/>
    </w:p>
    <w:p w14:paraId="1822DC12">
      <w:pPr>
        <w:pStyle w:val="26"/>
        <w:spacing w:before="0" w:beforeAutospacing="0" w:after="0" w:afterAutospacing="0" w:line="360" w:lineRule="auto"/>
        <w:ind w:firstLine="643" w:firstLineChars="200"/>
        <w:jc w:val="both"/>
        <w:rPr>
          <w:rFonts w:ascii="仿宋_GB2312" w:hAnsi="仿宋_GB2312" w:eastAsia="仿宋_GB2312"/>
          <w:color w:val="000000" w:themeColor="text1"/>
          <w:sz w:val="32"/>
          <w:szCs w:val="32"/>
          <w14:textFill>
            <w14:solidFill>
              <w14:schemeClr w14:val="tx1"/>
            </w14:solidFill>
          </w14:textFill>
        </w:rPr>
      </w:pPr>
      <w:r>
        <w:rPr>
          <w:rFonts w:hint="eastAsia" w:ascii="楷体_GB2312" w:hAnsi="楷体_GB2312" w:eastAsia="楷体_GB2312"/>
          <w:b/>
          <w:bCs/>
          <w:color w:val="000000" w:themeColor="text1"/>
          <w:sz w:val="32"/>
          <w:szCs w:val="32"/>
          <w14:textFill>
            <w14:solidFill>
              <w14:schemeClr w14:val="tx1"/>
            </w14:solidFill>
          </w14:textFill>
        </w:rPr>
        <w:t>（五）规范审批事项。</w:t>
      </w:r>
      <w:r>
        <w:rPr>
          <w:rFonts w:hint="eastAsia" w:ascii="仿宋_GB2312" w:hAnsi="仿宋_GB2312" w:eastAsia="仿宋_GB2312"/>
          <w:color w:val="000000" w:themeColor="text1"/>
          <w:sz w:val="32"/>
          <w:szCs w:val="32"/>
          <w14:textFill>
            <w14:solidFill>
              <w14:schemeClr w14:val="tx1"/>
            </w14:solidFill>
          </w14:textFill>
        </w:rPr>
        <w:t>依据权责清单，优化行政审批流程，规范行政审批行为，发挥好能源项目集中联动审批机制，建立健全容缺受理、并联办理、会商交流、下沉服务等工作机制，切实提高行政审批效率。</w:t>
      </w:r>
      <w:bookmarkStart w:id="5" w:name="OLE_LINK8"/>
      <w:r>
        <w:rPr>
          <w:rFonts w:hint="eastAsia" w:ascii="仿宋_GB2312" w:hAnsi="仿宋_GB2312" w:eastAsia="仿宋_GB2312"/>
          <w:color w:val="000000" w:themeColor="text1"/>
          <w:sz w:val="32"/>
          <w:szCs w:val="32"/>
          <w14:textFill>
            <w14:solidFill>
              <w14:schemeClr w14:val="tx1"/>
            </w14:solidFill>
          </w14:textFill>
        </w:rPr>
        <w:t>（责任部门：</w:t>
      </w:r>
      <w:r>
        <w:rPr>
          <w:rFonts w:hint="eastAsia" w:ascii="仿宋_GB2312" w:hAnsi="仿宋_GB2312" w:eastAsia="仿宋_GB2312"/>
          <w:color w:val="000000" w:themeColor="text1"/>
          <w:sz w:val="32"/>
          <w:szCs w:val="32"/>
          <w:lang w:bidi="ar"/>
          <w14:textFill>
            <w14:solidFill>
              <w14:schemeClr w14:val="tx1"/>
            </w14:solidFill>
          </w14:textFill>
        </w:rPr>
        <w:t>市能源局、市应急管理局、市自然资源局、市生态环境局、市林草局、市发展和改革委员会、市文化和旅游局、市政数局，各旗区人民政府</w:t>
      </w:r>
      <w:r>
        <w:rPr>
          <w:rFonts w:hint="eastAsia" w:ascii="仿宋_GB2312" w:hAnsi="仿宋_GB2312" w:eastAsia="仿宋_GB2312"/>
          <w:color w:val="000000" w:themeColor="text1"/>
          <w:sz w:val="32"/>
          <w:szCs w:val="32"/>
          <w14:textFill>
            <w14:solidFill>
              <w14:schemeClr w14:val="tx1"/>
            </w14:solidFill>
          </w14:textFill>
        </w:rPr>
        <w:t>）</w:t>
      </w:r>
      <w:bookmarkEnd w:id="5"/>
    </w:p>
    <w:bookmarkEnd w:id="1"/>
    <w:p w14:paraId="7DCEAC4F">
      <w:pPr>
        <w:pStyle w:val="24"/>
        <w:spacing w:before="0" w:beforeAutospacing="0" w:after="0" w:afterAutospacing="0" w:line="360" w:lineRule="auto"/>
        <w:ind w:firstLine="640" w:firstLineChars="200"/>
        <w:jc w:val="both"/>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三、强化项目管理，加强能源项目建设运行监管</w:t>
      </w:r>
    </w:p>
    <w:p w14:paraId="79FB63E8">
      <w:pPr>
        <w:pStyle w:val="24"/>
        <w:spacing w:before="0" w:beforeAutospacing="0" w:after="0" w:afterAutospacing="0" w:line="360" w:lineRule="auto"/>
        <w:ind w:firstLine="643" w:firstLineChars="200"/>
        <w:jc w:val="both"/>
        <w:rPr>
          <w:rFonts w:hint="eastAsia" w:ascii="仿宋_GB2312" w:hAnsi="仿宋_GB2312" w:eastAsia="仿宋_GB2312"/>
          <w:color w:val="000000" w:themeColor="text1"/>
          <w:sz w:val="32"/>
          <w:szCs w:val="32"/>
          <w:lang w:val="en" w:bidi="ar"/>
          <w14:textFill>
            <w14:solidFill>
              <w14:schemeClr w14:val="tx1"/>
            </w14:solidFill>
          </w14:textFill>
        </w:rPr>
      </w:pPr>
      <w:r>
        <w:rPr>
          <w:rFonts w:hint="eastAsia" w:ascii="楷体_GB2312" w:hAnsi="楷体_GB2312" w:eastAsia="楷体_GB2312"/>
          <w:b/>
          <w:bCs/>
          <w:color w:val="000000" w:themeColor="text1"/>
          <w:sz w:val="32"/>
          <w:szCs w:val="32"/>
          <w14:textFill>
            <w14:solidFill>
              <w14:schemeClr w14:val="tx1"/>
            </w14:solidFill>
          </w14:textFill>
        </w:rPr>
        <w:t>（六）加强项目管理。</w:t>
      </w:r>
      <w:r>
        <w:rPr>
          <w:rFonts w:hint="eastAsia" w:ascii="仿宋_GB2312" w:hAnsi="仿宋_GB2312" w:eastAsia="仿宋_GB2312"/>
          <w:color w:val="000000" w:themeColor="text1"/>
          <w:sz w:val="32"/>
          <w:szCs w:val="32"/>
          <w:lang w:bidi="ar"/>
          <w14:textFill>
            <w14:solidFill>
              <w14:schemeClr w14:val="tx1"/>
            </w14:solidFill>
          </w14:textFill>
        </w:rPr>
        <w:t>全面加强能源项目建设、运行监管，严禁超规模、超设计建设，严禁手续、证照不全和超产能、超强度组织生产，确保能源项目依法合规运行。对未依法办理核准手续开工建设或者未按照核准的建设地点、建设规模、建设内容等进行建设的，依法依规进行处罚。（责任部门：市能源局、市应急管理局、市生态环境局、市林草局、市发展和改革委员会、市住房和城乡建设局，各旗区人民政府）</w:t>
      </w:r>
    </w:p>
    <w:p w14:paraId="148CA200">
      <w:pPr>
        <w:pStyle w:val="24"/>
        <w:spacing w:before="0" w:beforeAutospacing="0" w:after="0" w:afterAutospacing="0" w:line="360" w:lineRule="auto"/>
        <w:ind w:firstLine="643" w:firstLineChars="200"/>
        <w:jc w:val="both"/>
        <w:rPr>
          <w:rFonts w:hint="eastAsia" w:ascii="仿宋_GB2312" w:hAnsi="仿宋_GB2312" w:eastAsia="仿宋_GB2312"/>
          <w:color w:val="000000" w:themeColor="text1"/>
          <w:sz w:val="32"/>
          <w:szCs w:val="32"/>
          <w14:textFill>
            <w14:solidFill>
              <w14:schemeClr w14:val="tx1"/>
            </w14:solidFill>
          </w14:textFill>
        </w:rPr>
      </w:pPr>
      <w:r>
        <w:rPr>
          <w:rFonts w:hint="eastAsia" w:ascii="楷体_GB2312" w:hAnsi="楷体_GB2312" w:eastAsia="楷体_GB2312"/>
          <w:b/>
          <w:bCs/>
          <w:color w:val="000000" w:themeColor="text1"/>
          <w:sz w:val="32"/>
          <w:szCs w:val="32"/>
          <w:lang w:val="en"/>
          <w14:textFill>
            <w14:solidFill>
              <w14:schemeClr w14:val="tx1"/>
            </w14:solidFill>
          </w14:textFill>
        </w:rPr>
        <w:t>（</w:t>
      </w:r>
      <w:r>
        <w:rPr>
          <w:rFonts w:hint="eastAsia" w:ascii="楷体_GB2312" w:hAnsi="楷体_GB2312" w:eastAsia="楷体_GB2312"/>
          <w:b/>
          <w:bCs/>
          <w:color w:val="000000" w:themeColor="text1"/>
          <w:sz w:val="32"/>
          <w:szCs w:val="32"/>
          <w14:textFill>
            <w14:solidFill>
              <w14:schemeClr w14:val="tx1"/>
            </w14:solidFill>
          </w14:textFill>
        </w:rPr>
        <w:t>七</w:t>
      </w:r>
      <w:r>
        <w:rPr>
          <w:rFonts w:hint="eastAsia" w:ascii="楷体_GB2312" w:hAnsi="楷体_GB2312" w:eastAsia="楷体_GB2312"/>
          <w:b/>
          <w:bCs/>
          <w:color w:val="000000" w:themeColor="text1"/>
          <w:sz w:val="32"/>
          <w:szCs w:val="32"/>
          <w:lang w:val="en"/>
          <w14:textFill>
            <w14:solidFill>
              <w14:schemeClr w14:val="tx1"/>
            </w14:solidFill>
          </w14:textFill>
        </w:rPr>
        <w:t>）加强招投标管理。</w:t>
      </w:r>
      <w:r>
        <w:rPr>
          <w:rFonts w:hint="eastAsia" w:ascii="仿宋_GB2312" w:hAnsi="仿宋_GB2312" w:eastAsia="仿宋_GB2312"/>
          <w:color w:val="000000" w:themeColor="text1"/>
          <w:sz w:val="32"/>
          <w:szCs w:val="32"/>
          <w14:textFill>
            <w14:solidFill>
              <w14:schemeClr w14:val="tx1"/>
            </w14:solidFill>
          </w14:textFill>
        </w:rPr>
        <w:t>进一步压实招标投标行政监督责任，</w:t>
      </w:r>
    </w:p>
    <w:p w14:paraId="49AF8AC2">
      <w:pPr>
        <w:pStyle w:val="24"/>
        <w:spacing w:before="0" w:beforeAutospacing="0" w:after="0" w:afterAutospacing="0" w:line="360" w:lineRule="auto"/>
        <w:jc w:val="both"/>
        <w:rPr>
          <w:rFonts w:hint="eastAsia" w:ascii="仿宋_GB2312" w:hAnsi="仿宋_GB2312" w:eastAsia="仿宋_GB2312"/>
          <w:color w:val="000000" w:themeColor="text1"/>
          <w:sz w:val="32"/>
          <w:szCs w:val="32"/>
          <w14:textFill>
            <w14:solidFill>
              <w14:schemeClr w14:val="tx1"/>
            </w14:solidFill>
          </w14:textFill>
        </w:rPr>
      </w:pPr>
      <w:r>
        <w:rPr>
          <w:rFonts w:hint="eastAsia" w:ascii="仿宋_GB2312" w:hAnsi="仿宋_GB2312" w:eastAsia="仿宋_GB2312"/>
          <w:color w:val="000000" w:themeColor="text1"/>
          <w:sz w:val="32"/>
          <w:szCs w:val="32"/>
          <w:lang w:val="en"/>
          <w14:textFill>
            <w14:solidFill>
              <w14:schemeClr w14:val="tx1"/>
            </w14:solidFill>
          </w14:textFill>
        </w:rPr>
        <w:t>严格按照《内蒙古自治区能源局关于印发</w:t>
      </w:r>
      <w:r>
        <w:rPr>
          <w:rFonts w:hint="eastAsia" w:ascii="仿宋_GB2312" w:hAnsi="仿宋_GB2312" w:eastAsia="仿宋_GB2312"/>
          <w:color w:val="000000" w:themeColor="text1"/>
          <w:sz w:val="32"/>
          <w:szCs w:val="32"/>
          <w14:textFill>
            <w14:solidFill>
              <w14:schemeClr w14:val="tx1"/>
            </w14:solidFill>
          </w14:textFill>
        </w:rPr>
        <w:t>&lt;内蒙古自治区能源基础设施工程项目招标投标监督办法（试行）&gt;</w:t>
      </w:r>
      <w:r>
        <w:rPr>
          <w:rFonts w:hint="eastAsia" w:ascii="仿宋_GB2312" w:hAnsi="仿宋_GB2312" w:eastAsia="仿宋_GB2312"/>
          <w:color w:val="000000" w:themeColor="text1"/>
          <w:sz w:val="32"/>
          <w:szCs w:val="32"/>
          <w:lang w:val="en"/>
          <w14:textFill>
            <w14:solidFill>
              <w14:schemeClr w14:val="tx1"/>
            </w14:solidFill>
          </w14:textFill>
        </w:rPr>
        <w:t>的通知》</w:t>
      </w:r>
      <w:r>
        <w:rPr>
          <w:rFonts w:hint="eastAsia" w:ascii="仿宋_GB2312" w:hAnsi="仿宋_GB2312" w:eastAsia="仿宋_GB2312"/>
          <w:color w:val="000000" w:themeColor="text1"/>
          <w:sz w:val="32"/>
          <w:szCs w:val="32"/>
          <w14:textFill>
            <w14:solidFill>
              <w14:schemeClr w14:val="tx1"/>
            </w14:solidFill>
          </w14:textFill>
        </w:rPr>
        <w:t>（内能源发改发〔2024〕4号）要求，切实做好能源工程招标投标工作，按照“谁审批、谁监管，谁主管、谁监管”兼顾项目所在地监管的原则，依法对权限范围内能源工程招标投标活动实施监督，组织开展日常监管和执法检查，处理投诉，依法查处违法违规行为。</w:t>
      </w:r>
    </w:p>
    <w:p w14:paraId="4FB1ADEB">
      <w:pPr>
        <w:pStyle w:val="24"/>
        <w:spacing w:before="0" w:beforeAutospacing="0" w:after="0" w:afterAutospacing="0" w:line="360" w:lineRule="auto"/>
        <w:jc w:val="both"/>
        <w:rPr>
          <w:rFonts w:hint="eastAsia" w:ascii="楷体_GB2312" w:hAnsi="楷体_GB2312" w:eastAsia="仿宋_GB2312"/>
          <w:b/>
          <w:bCs/>
          <w:color w:val="000000" w:themeColor="text1"/>
          <w:sz w:val="32"/>
          <w:szCs w:val="32"/>
          <w:lang w:val="en"/>
          <w14:textFill>
            <w14:solidFill>
              <w14:schemeClr w14:val="tx1"/>
            </w14:solidFill>
          </w14:textFill>
        </w:rPr>
      </w:pPr>
      <w:bookmarkStart w:id="6" w:name="OLE_LINK5"/>
      <w:r>
        <w:rPr>
          <w:rFonts w:hint="eastAsia" w:ascii="仿宋_GB2312" w:hAnsi="仿宋_GB2312" w:eastAsia="仿宋_GB2312"/>
          <w:color w:val="000000" w:themeColor="text1"/>
          <w:sz w:val="32"/>
          <w:szCs w:val="32"/>
          <w14:textFill>
            <w14:solidFill>
              <w14:schemeClr w14:val="tx1"/>
            </w14:solidFill>
          </w14:textFill>
        </w:rPr>
        <w:t>（责任部门：市能源局、公共资源交易中心，各旗区人民政府）</w:t>
      </w:r>
      <w:bookmarkEnd w:id="6"/>
    </w:p>
    <w:p w14:paraId="4F76B7D0">
      <w:pPr>
        <w:pStyle w:val="24"/>
        <w:spacing w:after="0" w:line="360" w:lineRule="auto"/>
        <w:ind w:firstLine="643" w:firstLineChars="200"/>
        <w:rPr>
          <w:rFonts w:hint="eastAsia" w:ascii="仿宋_GB2312" w:hAnsi="仿宋_GB2312" w:eastAsia="仿宋_GB2312"/>
          <w:color w:val="000000" w:themeColor="text1"/>
          <w:sz w:val="32"/>
          <w:szCs w:val="32"/>
          <w14:textFill>
            <w14:solidFill>
              <w14:schemeClr w14:val="tx1"/>
            </w14:solidFill>
          </w14:textFill>
        </w:rPr>
      </w:pPr>
      <w:r>
        <w:rPr>
          <w:rFonts w:hint="eastAsia" w:ascii="楷体_GB2312" w:hAnsi="楷体_GB2312" w:eastAsia="楷体_GB2312"/>
          <w:b/>
          <w:bCs/>
          <w:color w:val="000000" w:themeColor="text1"/>
          <w:sz w:val="32"/>
          <w:szCs w:val="32"/>
          <w:lang w:val="en"/>
          <w14:textFill>
            <w14:solidFill>
              <w14:schemeClr w14:val="tx1"/>
            </w14:solidFill>
          </w14:textFill>
        </w:rPr>
        <w:t>（</w:t>
      </w:r>
      <w:r>
        <w:rPr>
          <w:rFonts w:hint="eastAsia" w:ascii="楷体_GB2312" w:hAnsi="楷体_GB2312" w:eastAsia="楷体_GB2312"/>
          <w:b/>
          <w:bCs/>
          <w:color w:val="000000" w:themeColor="text1"/>
          <w:sz w:val="32"/>
          <w:szCs w:val="32"/>
          <w14:textFill>
            <w14:solidFill>
              <w14:schemeClr w14:val="tx1"/>
            </w14:solidFill>
          </w14:textFill>
        </w:rPr>
        <w:t>八</w:t>
      </w:r>
      <w:r>
        <w:rPr>
          <w:rFonts w:hint="eastAsia" w:ascii="楷体_GB2312" w:hAnsi="楷体_GB2312" w:eastAsia="楷体_GB2312"/>
          <w:b/>
          <w:bCs/>
          <w:color w:val="000000" w:themeColor="text1"/>
          <w:sz w:val="32"/>
          <w:szCs w:val="32"/>
          <w:lang w:val="en"/>
          <w14:textFill>
            <w14:solidFill>
              <w14:schemeClr w14:val="tx1"/>
            </w14:solidFill>
          </w14:textFill>
        </w:rPr>
        <w:t>）提升智能化水平。</w:t>
      </w:r>
      <w:r>
        <w:rPr>
          <w:rFonts w:hint="eastAsia" w:ascii="仿宋_GB2312" w:hAnsi="仿宋_GB2312" w:eastAsia="仿宋_GB2312"/>
          <w:color w:val="000000" w:themeColor="text1"/>
          <w:sz w:val="32"/>
          <w:szCs w:val="32"/>
          <w14:textFill>
            <w14:solidFill>
              <w14:schemeClr w14:val="tx1"/>
            </w14:solidFill>
          </w14:textFill>
        </w:rPr>
        <w:t>新建煤矿智能化设施与煤矿主体要做到同时设计、同时施工，长期停产煤矿</w:t>
      </w:r>
      <w:r>
        <w:rPr>
          <w:rFonts w:hint="eastAsia" w:ascii="仿宋_GB2312" w:hAnsi="仿宋_GB2312" w:eastAsia="仿宋_GB2312"/>
          <w:b/>
          <w:bCs/>
          <w:color w:val="000000" w:themeColor="text1"/>
          <w:sz w:val="32"/>
          <w:szCs w:val="32"/>
          <w14:textFill>
            <w14:solidFill>
              <w14:schemeClr w14:val="tx1"/>
            </w14:solidFill>
          </w14:textFill>
        </w:rPr>
        <w:t>原则上</w:t>
      </w:r>
      <w:r>
        <w:rPr>
          <w:rFonts w:hint="eastAsia" w:ascii="仿宋_GB2312" w:hAnsi="仿宋_GB2312" w:eastAsia="仿宋_GB2312"/>
          <w:color w:val="000000" w:themeColor="text1"/>
          <w:sz w:val="32"/>
          <w:szCs w:val="32"/>
          <w14:textFill>
            <w14:solidFill>
              <w14:schemeClr w14:val="tx1"/>
            </w14:solidFill>
          </w14:textFill>
        </w:rPr>
        <w:t>要在投产一年内完成智能化建设，煤矿智能化建设要与煤炭行业人工智能、矿鸿应用三年行动计划、智能网联汽车测试与示范应用协同推进。原则上新建煤电项目按照智慧电厂建设，鼓励在役煤电项目实施智能化改造。新建110kV及以上变电站原则上按照智能化变电站设计、建设，推动在役变电站实施智能化改造。（责任部门：市能源局、市应急管理局、市工信局，各旗区人民政府）</w:t>
      </w:r>
    </w:p>
    <w:p w14:paraId="104540DD">
      <w:pPr>
        <w:pStyle w:val="24"/>
        <w:spacing w:before="0" w:beforeAutospacing="0" w:after="0" w:afterAutospacing="0" w:line="360" w:lineRule="auto"/>
        <w:ind w:firstLine="640" w:firstLineChars="200"/>
        <w:jc w:val="both"/>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四、规范市场监管，强化保供责任</w:t>
      </w:r>
    </w:p>
    <w:p w14:paraId="22779AC3">
      <w:pPr>
        <w:spacing w:after="0" w:line="360" w:lineRule="auto"/>
        <w:ind w:firstLine="643" w:firstLineChars="200"/>
        <w:rPr>
          <w:rFonts w:hint="eastAsia" w:ascii="仿宋_GB2312" w:hAnsi="仿宋_GB2312" w:eastAsia="仿宋_GB2312"/>
          <w:color w:val="000000" w:themeColor="text1"/>
          <w:kern w:val="0"/>
          <w:sz w:val="32"/>
          <w:szCs w:val="32"/>
          <w:lang w:bidi="ar"/>
          <w14:textFill>
            <w14:solidFill>
              <w14:schemeClr w14:val="tx1"/>
            </w14:solidFill>
          </w14:textFill>
        </w:rPr>
      </w:pPr>
      <w:r>
        <w:rPr>
          <w:rFonts w:hint="eastAsia" w:ascii="楷体_GB2312" w:hAnsi="楷体_GB2312" w:eastAsia="楷体_GB2312"/>
          <w:b/>
          <w:bCs/>
          <w:color w:val="000000" w:themeColor="text1"/>
          <w:sz w:val="32"/>
          <w:szCs w:val="32"/>
          <w:lang w:val="en"/>
          <w14:textFill>
            <w14:solidFill>
              <w14:schemeClr w14:val="tx1"/>
            </w14:solidFill>
          </w14:textFill>
        </w:rPr>
        <w:t>（九）建立煤炭监管信息系统。</w:t>
      </w:r>
      <w:r>
        <w:rPr>
          <w:rFonts w:hint="eastAsia" w:ascii="仿宋_GB2312" w:hAnsi="仿宋_GB2312" w:eastAsia="仿宋_GB2312"/>
          <w:color w:val="000000" w:themeColor="text1"/>
          <w:sz w:val="32"/>
          <w:szCs w:val="32"/>
          <w14:textFill>
            <w14:solidFill>
              <w14:schemeClr w14:val="tx1"/>
            </w14:solidFill>
          </w14:textFill>
        </w:rPr>
        <w:t>推进全市所有正常生产煤矿、洗选煤场、集装站全部接入“鄂尔多斯智慧能源服务平台”，实行闭环管理，原则上一个销售主体只设置一个出入口。强化系统运维监管，保证监管系统24小时连续稳定运行，出现故障必须及时逐级报备并派专人“盯守”，严禁煤炭生产经营企业通过卡口断电、断网或拆除运煤车辆定位设备等行为恶意屏蔽系统，规避报送相关信息。规范企业信息填报，确保煤炭热值、价格、煤种等参数信息真实、可靠。建立系统报警分类、分级推送和处置机制，形成处置体系，对违规关联交易等行为归口推送市场监管、税务等部门依法查处；对不如实报送相关信息的企业，按照有关法律法规依法处罚，并纳入诚信记录。（责任部门：</w:t>
      </w:r>
      <w:r>
        <w:rPr>
          <w:rFonts w:hint="eastAsia" w:ascii="仿宋_GB2312" w:hAnsi="仿宋_GB2312" w:eastAsia="仿宋_GB2312"/>
          <w:color w:val="000000" w:themeColor="text1"/>
          <w:kern w:val="0"/>
          <w:sz w:val="32"/>
          <w:szCs w:val="32"/>
          <w:lang w:bidi="ar"/>
          <w14:textFill>
            <w14:solidFill>
              <w14:schemeClr w14:val="tx1"/>
            </w14:solidFill>
          </w14:textFill>
        </w:rPr>
        <w:t>市能源局、市应急管理局、市自然资源局、市生态环境局、市水利局、市市场监督管理局、市交通运输局、市税务局、市公安局、市财政局、市数字投资公司，各旗区人民政府）</w:t>
      </w:r>
    </w:p>
    <w:p w14:paraId="2BDD623A">
      <w:pPr>
        <w:spacing w:after="0" w:line="360" w:lineRule="auto"/>
        <w:ind w:firstLine="643" w:firstLineChars="200"/>
        <w:rPr>
          <w:rFonts w:hint="eastAsia" w:ascii="仿宋_GB2312" w:hAnsi="仿宋_GB2312" w:eastAsia="仿宋_GB2312"/>
          <w:color w:val="000000" w:themeColor="text1"/>
          <w:sz w:val="32"/>
          <w:szCs w:val="32"/>
          <w14:textFill>
            <w14:solidFill>
              <w14:schemeClr w14:val="tx1"/>
            </w14:solidFill>
          </w14:textFill>
        </w:rPr>
      </w:pPr>
      <w:r>
        <w:rPr>
          <w:rFonts w:hint="eastAsia" w:ascii="楷体_GB2312" w:hAnsi="楷体_GB2312" w:eastAsia="楷体_GB2312"/>
          <w:b/>
          <w:bCs/>
          <w:color w:val="000000" w:themeColor="text1"/>
          <w:sz w:val="32"/>
          <w:szCs w:val="32"/>
          <w:lang w:val="en"/>
          <w14:textFill>
            <w14:solidFill>
              <w14:schemeClr w14:val="tx1"/>
            </w14:solidFill>
          </w14:textFill>
        </w:rPr>
        <w:t>（</w:t>
      </w:r>
      <w:r>
        <w:rPr>
          <w:rFonts w:hint="eastAsia" w:ascii="楷体_GB2312" w:hAnsi="楷体_GB2312" w:eastAsia="楷体_GB2312"/>
          <w:b/>
          <w:bCs/>
          <w:color w:val="000000" w:themeColor="text1"/>
          <w:sz w:val="32"/>
          <w:szCs w:val="32"/>
          <w14:textFill>
            <w14:solidFill>
              <w14:schemeClr w14:val="tx1"/>
            </w14:solidFill>
          </w14:textFill>
        </w:rPr>
        <w:t>十</w:t>
      </w:r>
      <w:r>
        <w:rPr>
          <w:rFonts w:hint="eastAsia" w:ascii="楷体_GB2312" w:hAnsi="楷体_GB2312" w:eastAsia="楷体_GB2312"/>
          <w:b/>
          <w:bCs/>
          <w:color w:val="000000" w:themeColor="text1"/>
          <w:sz w:val="32"/>
          <w:szCs w:val="32"/>
          <w:lang w:val="en"/>
          <w14:textFill>
            <w14:solidFill>
              <w14:schemeClr w14:val="tx1"/>
            </w14:solidFill>
          </w14:textFill>
        </w:rPr>
        <w:t>）强化能源保供责任。</w:t>
      </w:r>
      <w:r>
        <w:rPr>
          <w:rFonts w:hint="eastAsia" w:ascii="仿宋_GB2312" w:hAnsi="仿宋_GB2312" w:eastAsia="仿宋_GB2312"/>
          <w:color w:val="000000" w:themeColor="text1"/>
          <w:sz w:val="32"/>
          <w:szCs w:val="32"/>
          <w14:textFill>
            <w14:solidFill>
              <w14:schemeClr w14:val="tx1"/>
            </w14:solidFill>
          </w14:textFill>
        </w:rPr>
        <w:t>能源企业要严格落实能源保供主体责任，执行各级政府制定的能源保供政策，坚决落实能源保供任务，严格执行电煤中长期合同，实行煤电供需双向监管和协调机制，定期调度煤炭、电力企业电煤中长期合同签订履约情况。</w:t>
      </w:r>
    </w:p>
    <w:p w14:paraId="521A5A7B">
      <w:pPr>
        <w:spacing w:line="360" w:lineRule="auto"/>
        <w:rPr>
          <w:rFonts w:hint="eastAsia" w:ascii="仿宋_GB2312" w:hAnsi="仿宋_GB2312" w:eastAsia="仿宋_GB2312"/>
          <w:color w:val="000000" w:themeColor="text1"/>
          <w:kern w:val="0"/>
          <w:sz w:val="32"/>
          <w:szCs w:val="32"/>
          <w14:textFill>
            <w14:solidFill>
              <w14:schemeClr w14:val="tx1"/>
            </w14:solidFill>
          </w14:textFill>
        </w:rPr>
      </w:pPr>
      <w:r>
        <w:rPr>
          <w:rFonts w:hint="eastAsia" w:ascii="仿宋_GB2312" w:hAnsi="仿宋_GB2312" w:eastAsia="仿宋_GB2312"/>
          <w:color w:val="000000" w:themeColor="text1"/>
          <w:kern w:val="0"/>
          <w:sz w:val="32"/>
          <w:szCs w:val="32"/>
          <w14:textFill>
            <w14:solidFill>
              <w14:schemeClr w14:val="tx1"/>
            </w14:solidFill>
          </w14:textFill>
        </w:rPr>
        <w:t>按照自治区能源局《内蒙古自治区能源局关于加强2025年电煤中长期合同履约监管工作的通知》（内能源运行字〔2025〕108号）要求，</w:t>
      </w:r>
      <w:r>
        <w:rPr>
          <w:rFonts w:hint="eastAsia" w:ascii="仿宋_GB2312" w:hAnsi="仿宋_GB2312" w:eastAsia="仿宋_GB2312"/>
          <w:color w:val="000000" w:themeColor="text1"/>
          <w:sz w:val="32"/>
          <w:szCs w:val="32"/>
          <w14:textFill>
            <w14:solidFill>
              <w14:schemeClr w14:val="tx1"/>
            </w14:solidFill>
          </w14:textFill>
        </w:rPr>
        <w:t>综合运用提醒、约谈、通报、不履约典型案例归集等手段，加强企业履约管理，对履约不力的企业，</w:t>
      </w:r>
      <w:r>
        <w:rPr>
          <w:rFonts w:hint="eastAsia" w:ascii="仿宋_GB2312" w:hAnsi="仿宋_GB2312" w:eastAsia="仿宋_GB2312"/>
          <w:color w:val="000000" w:themeColor="text1"/>
          <w:kern w:val="0"/>
          <w:sz w:val="32"/>
          <w:szCs w:val="32"/>
          <w14:textFill>
            <w14:solidFill>
              <w14:schemeClr w14:val="tx1"/>
            </w14:solidFill>
          </w14:textFill>
        </w:rPr>
        <w:t>区内的由市能源主管部门协调对方盟市能源主管部门解决，区外的由市能源主管部门上报自治区能源局协调相关省份主管部门解决，</w:t>
      </w:r>
      <w:r>
        <w:rPr>
          <w:rFonts w:hint="eastAsia" w:ascii="仿宋_GB2312" w:hAnsi="仿宋_GB2312" w:eastAsia="仿宋_GB2312"/>
          <w:color w:val="000000" w:themeColor="text1"/>
          <w:sz w:val="32"/>
          <w:szCs w:val="32"/>
          <w14:textFill>
            <w14:solidFill>
              <w14:schemeClr w14:val="tx1"/>
            </w14:solidFill>
          </w14:textFill>
        </w:rPr>
        <w:t>切实提高电煤中长期合同履约率。（责任部门：市能源局、市发展和改革委员会，各旗区人民政府）</w:t>
      </w:r>
    </w:p>
    <w:p w14:paraId="7AFC47B8">
      <w:pPr>
        <w:pStyle w:val="24"/>
        <w:spacing w:before="0" w:beforeAutospacing="0" w:after="0" w:afterAutospacing="0" w:line="360" w:lineRule="auto"/>
        <w:ind w:firstLine="640" w:firstLineChars="200"/>
        <w:jc w:val="both"/>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五、突出风险防控，加强能源安全生产监管</w:t>
      </w:r>
    </w:p>
    <w:p w14:paraId="36546D52">
      <w:pPr>
        <w:spacing w:after="0" w:line="360" w:lineRule="auto"/>
        <w:ind w:firstLine="643" w:firstLineChars="200"/>
        <w:rPr>
          <w:rFonts w:hint="eastAsia" w:ascii="楷体_GB2312" w:hAnsi="楷体_GB2312" w:eastAsia="楷体_GB2312"/>
          <w:b/>
          <w:bCs/>
          <w:color w:val="000000" w:themeColor="text1"/>
          <w:kern w:val="0"/>
          <w:sz w:val="32"/>
          <w:szCs w:val="32"/>
          <w:highlight w:val="yellow"/>
          <w:lang w:bidi="ar"/>
          <w14:textFill>
            <w14:solidFill>
              <w14:schemeClr w14:val="tx1"/>
            </w14:solidFill>
          </w14:textFill>
        </w:rPr>
      </w:pPr>
      <w:r>
        <w:rPr>
          <w:rFonts w:hint="eastAsia" w:ascii="楷体_GB2312" w:hAnsi="楷体_GB2312" w:eastAsia="楷体_GB2312"/>
          <w:b/>
          <w:bCs/>
          <w:color w:val="000000" w:themeColor="text1"/>
          <w:kern w:val="0"/>
          <w:sz w:val="32"/>
          <w:szCs w:val="32"/>
          <w:lang w:bidi="ar"/>
          <w14:textFill>
            <w14:solidFill>
              <w14:schemeClr w14:val="tx1"/>
            </w14:solidFill>
          </w14:textFill>
        </w:rPr>
        <w:t>（十一）加强能源安全监管责任落实。</w:t>
      </w:r>
      <w:r>
        <w:rPr>
          <w:rFonts w:hint="eastAsia" w:ascii="仿宋_GB2312" w:hAnsi="仿宋_GB2312" w:eastAsia="仿宋_GB2312"/>
          <w:color w:val="000000" w:themeColor="text1"/>
          <w:kern w:val="0"/>
          <w:sz w:val="32"/>
          <w:szCs w:val="32"/>
          <w:lang w:bidi="ar"/>
          <w14:textFill>
            <w14:solidFill>
              <w14:schemeClr w14:val="tx1"/>
            </w14:solidFill>
          </w14:textFill>
        </w:rPr>
        <w:t>严格落实属地安全监管责任，落实“三管三必须”要求，进一步发挥能源安全生产委员会作用，定期召开一次部门联席会议，形成部门间相互配合、齐抓共管、信息共享、资源共用机制，切实加强能源安全监管责任落实。</w:t>
      </w:r>
      <w:r>
        <w:rPr>
          <w:rFonts w:hint="eastAsia" w:ascii="仿宋_GB2312" w:hAnsi="仿宋_GB2312" w:eastAsia="仿宋_GB2312"/>
          <w:color w:val="000000" w:themeColor="text1"/>
          <w:sz w:val="32"/>
          <w:szCs w:val="32"/>
          <w14:textFill>
            <w14:solidFill>
              <w14:schemeClr w14:val="tx1"/>
            </w14:solidFill>
          </w14:textFill>
        </w:rPr>
        <w:t>（责任部门：</w:t>
      </w:r>
      <w:r>
        <w:rPr>
          <w:rFonts w:hint="eastAsia" w:ascii="仿宋_GB2312" w:hAnsi="仿宋_GB2312" w:eastAsia="仿宋_GB2312"/>
          <w:color w:val="000000" w:themeColor="text1"/>
          <w:kern w:val="0"/>
          <w:sz w:val="32"/>
          <w:szCs w:val="32"/>
          <w:lang w:bidi="ar"/>
          <w14:textFill>
            <w14:solidFill>
              <w14:schemeClr w14:val="tx1"/>
            </w14:solidFill>
          </w14:textFill>
        </w:rPr>
        <w:t>市能源局、市应急管理局、市自然资源局、市生态环境局、市林草局、市水利局、市住房和城乡建设局、市市场监督管理局、市交通运输局、市公安局、市财政局、市气象局，各旗区人民政府）</w:t>
      </w:r>
    </w:p>
    <w:p w14:paraId="5226B105">
      <w:pPr>
        <w:spacing w:after="0" w:line="360" w:lineRule="auto"/>
        <w:ind w:firstLine="643" w:firstLineChars="200"/>
        <w:rPr>
          <w:rFonts w:hint="eastAsia" w:ascii="楷体_GB2312" w:hAnsi="楷体_GB2312" w:eastAsia="楷体_GB2312"/>
          <w:b/>
          <w:bCs/>
          <w:color w:val="000000" w:themeColor="text1"/>
          <w:kern w:val="0"/>
          <w:sz w:val="32"/>
          <w:szCs w:val="32"/>
          <w:lang w:bidi="ar"/>
          <w14:textFill>
            <w14:solidFill>
              <w14:schemeClr w14:val="tx1"/>
            </w14:solidFill>
          </w14:textFill>
        </w:rPr>
      </w:pPr>
      <w:bookmarkStart w:id="7" w:name="OLE_LINK17"/>
      <w:r>
        <w:rPr>
          <w:rFonts w:hint="eastAsia" w:ascii="楷体_GB2312" w:hAnsi="楷体_GB2312" w:eastAsia="楷体_GB2312"/>
          <w:b/>
          <w:bCs/>
          <w:color w:val="000000" w:themeColor="text1"/>
          <w:kern w:val="0"/>
          <w:sz w:val="32"/>
          <w:szCs w:val="32"/>
          <w:lang w:bidi="ar"/>
          <w14:textFill>
            <w14:solidFill>
              <w14:schemeClr w14:val="tx1"/>
            </w14:solidFill>
          </w14:textFill>
        </w:rPr>
        <w:t>（十二）加强监管服务队伍建设。</w:t>
      </w:r>
    </w:p>
    <w:p w14:paraId="5395BDD6">
      <w:pPr>
        <w:spacing w:after="0" w:line="360" w:lineRule="auto"/>
        <w:ind w:firstLine="640" w:firstLineChars="200"/>
        <w:rPr>
          <w:rFonts w:hint="eastAsia" w:ascii="仿宋_GB2312" w:hAnsi="仿宋_GB2312" w:eastAsia="仿宋_GB2312"/>
          <w:color w:val="000000" w:themeColor="text1"/>
          <w:kern w:val="0"/>
          <w:sz w:val="32"/>
          <w:szCs w:val="32"/>
          <w:lang w:bidi="ar"/>
          <w14:textFill>
            <w14:solidFill>
              <w14:schemeClr w14:val="tx1"/>
            </w14:solidFill>
          </w14:textFill>
        </w:rPr>
      </w:pPr>
      <w:r>
        <w:rPr>
          <w:rFonts w:hint="eastAsia" w:ascii="仿宋_GB2312" w:hAnsi="仿宋_GB2312" w:eastAsia="仿宋_GB2312"/>
          <w:color w:val="000000" w:themeColor="text1"/>
          <w:kern w:val="0"/>
          <w:sz w:val="32"/>
          <w:szCs w:val="32"/>
          <w:lang w:bidi="ar"/>
          <w14:textFill>
            <w14:solidFill>
              <w14:schemeClr w14:val="tx1"/>
            </w14:solidFill>
          </w14:textFill>
        </w:rPr>
        <w:t>持续加强纪律作风建设，提升监管服务人员业务能力，规范监管服务行为，完善监管服务程序，建立健全监管服务机制，促进依法监管、文明监管、廉洁监管，严格执行《国务院办公厅关于严格规范涉企行政检查的意见》，做到“五个严禁、八个不得”，对违法违规的监管服务工作人员，将依法严肃追责问责，确保监管服务公平公正。</w:t>
      </w:r>
      <w:bookmarkEnd w:id="7"/>
      <w:bookmarkStart w:id="8" w:name="OLE_LINK14"/>
      <w:r>
        <w:rPr>
          <w:rFonts w:hint="eastAsia" w:ascii="仿宋_GB2312" w:hAnsi="仿宋_GB2312" w:eastAsia="仿宋_GB2312"/>
          <w:color w:val="000000" w:themeColor="text1"/>
          <w:sz w:val="32"/>
          <w:szCs w:val="32"/>
          <w14:textFill>
            <w14:solidFill>
              <w14:schemeClr w14:val="tx1"/>
            </w14:solidFill>
          </w14:textFill>
        </w:rPr>
        <w:t>（责任部门：</w:t>
      </w:r>
      <w:r>
        <w:rPr>
          <w:rFonts w:hint="eastAsia" w:ascii="仿宋_GB2312" w:hAnsi="仿宋_GB2312" w:eastAsia="仿宋_GB2312"/>
          <w:color w:val="000000" w:themeColor="text1"/>
          <w:kern w:val="0"/>
          <w:sz w:val="32"/>
          <w:szCs w:val="32"/>
          <w:lang w:bidi="ar"/>
          <w14:textFill>
            <w14:solidFill>
              <w14:schemeClr w14:val="tx1"/>
            </w14:solidFill>
          </w14:textFill>
        </w:rPr>
        <w:t>市能源局、市应急管理局、市自然资源局、市生态环境局、市住房和城乡建设局、市市场监督管理局、市交通运输局、市公安局，各旗区人民政府）</w:t>
      </w:r>
    </w:p>
    <w:bookmarkEnd w:id="8"/>
    <w:p w14:paraId="75421ADF">
      <w:pPr>
        <w:spacing w:after="0" w:line="360" w:lineRule="auto"/>
        <w:ind w:firstLine="643" w:firstLineChars="200"/>
        <w:rPr>
          <w:rFonts w:hint="eastAsia" w:ascii="楷体_GB2312" w:hAnsi="楷体_GB2312" w:eastAsia="楷体_GB2312"/>
          <w:b/>
          <w:bCs/>
          <w:color w:val="000000" w:themeColor="text1"/>
          <w:kern w:val="0"/>
          <w:sz w:val="32"/>
          <w:szCs w:val="32"/>
          <w:lang w:bidi="ar"/>
          <w14:textFill>
            <w14:solidFill>
              <w14:schemeClr w14:val="tx1"/>
            </w14:solidFill>
          </w14:textFill>
        </w:rPr>
      </w:pPr>
      <w:r>
        <w:rPr>
          <w:rFonts w:hint="eastAsia" w:ascii="楷体_GB2312" w:hAnsi="楷体_GB2312" w:eastAsia="楷体_GB2312"/>
          <w:b/>
          <w:bCs/>
          <w:color w:val="000000" w:themeColor="text1"/>
          <w:kern w:val="0"/>
          <w:sz w:val="32"/>
          <w:szCs w:val="32"/>
          <w:lang w:bidi="ar"/>
          <w14:textFill>
            <w14:solidFill>
              <w14:schemeClr w14:val="tx1"/>
            </w14:solidFill>
          </w14:textFill>
        </w:rPr>
        <w:t>（十三）加强企业主体责任落实。</w:t>
      </w:r>
      <w:bookmarkStart w:id="9" w:name="OLE_LINK1"/>
      <w:r>
        <w:rPr>
          <w:rFonts w:ascii="仿宋_GB2312" w:hAnsi="仿宋_GB2312" w:eastAsia="仿宋_GB2312"/>
          <w:color w:val="000000" w:themeColor="text1"/>
          <w:sz w:val="32"/>
          <w:szCs w:val="32"/>
          <w:lang w:bidi="ar"/>
          <w14:textFill>
            <w14:solidFill>
              <w14:schemeClr w14:val="tx1"/>
            </w14:solidFill>
          </w14:textFill>
        </w:rPr>
        <w:t>各能源企业</w:t>
      </w:r>
      <w:r>
        <w:rPr>
          <w:rFonts w:hint="eastAsia" w:ascii="仿宋_GB2312" w:hAnsi="仿宋_GB2312" w:eastAsia="仿宋_GB2312"/>
          <w:color w:val="000000" w:themeColor="text1"/>
          <w:kern w:val="0"/>
          <w:sz w:val="32"/>
          <w:szCs w:val="32"/>
          <w14:textFill>
            <w14:solidFill>
              <w14:schemeClr w14:val="tx1"/>
            </w14:solidFill>
          </w14:textFill>
        </w:rPr>
        <w:t>要严格履行安全生产法定责任，健全自我约束、持续改进的常态化机制，实行全员安全生产责任制度，健全法定代表人和实际控制人同为安全生产第一责任人的责任体系，强化部门安全生产职责，落实“一岗双责”。建立全过程安全生产管理制度，做到安全责任、管理、投入、培训和应急救援“五到位”。</w:t>
      </w:r>
      <w:r>
        <w:rPr>
          <w:rFonts w:ascii="仿宋_GB2312" w:hAnsi="仿宋_GB2312" w:eastAsia="仿宋_GB2312"/>
          <w:color w:val="000000" w:themeColor="text1"/>
          <w:sz w:val="32"/>
          <w:szCs w:val="32"/>
          <w:lang w:bidi="ar"/>
          <w14:textFill>
            <w14:solidFill>
              <w14:schemeClr w14:val="tx1"/>
            </w14:solidFill>
          </w14:textFill>
        </w:rPr>
        <w:t>对主体责任落实不力导致</w:t>
      </w:r>
      <w:r>
        <w:rPr>
          <w:rFonts w:hint="eastAsia" w:ascii="仿宋_GB2312" w:hAnsi="仿宋_GB2312" w:eastAsia="仿宋_GB2312"/>
          <w:color w:val="000000" w:themeColor="text1"/>
          <w:sz w:val="32"/>
          <w:szCs w:val="32"/>
          <w:lang w:bidi="ar"/>
          <w14:textFill>
            <w14:solidFill>
              <w14:schemeClr w14:val="tx1"/>
            </w14:solidFill>
          </w14:textFill>
        </w:rPr>
        <w:t>发生</w:t>
      </w:r>
      <w:r>
        <w:rPr>
          <w:rFonts w:ascii="仿宋_GB2312" w:hAnsi="仿宋_GB2312" w:eastAsia="仿宋_GB2312"/>
          <w:color w:val="000000" w:themeColor="text1"/>
          <w:sz w:val="32"/>
          <w:szCs w:val="32"/>
          <w:lang w:bidi="ar"/>
          <w14:textFill>
            <w14:solidFill>
              <w14:schemeClr w14:val="tx1"/>
            </w14:solidFill>
          </w14:textFill>
        </w:rPr>
        <w:t>安全生产事故的企业，</w:t>
      </w:r>
      <w:bookmarkEnd w:id="9"/>
      <w:r>
        <w:rPr>
          <w:rFonts w:hint="eastAsia" w:ascii="仿宋_GB2312" w:hAnsi="仿宋_GB2312" w:eastAsia="仿宋_GB2312"/>
          <w:color w:val="000000" w:themeColor="text1"/>
          <w:sz w:val="32"/>
          <w:szCs w:val="32"/>
          <w:lang w:bidi="ar"/>
          <w14:textFill>
            <w14:solidFill>
              <w14:schemeClr w14:val="tx1"/>
            </w14:solidFill>
          </w14:textFill>
        </w:rPr>
        <w:t>依照相关法律法规予以处罚。</w:t>
      </w:r>
      <w:bookmarkStart w:id="10" w:name="OLE_LINK15"/>
      <w:r>
        <w:rPr>
          <w:rFonts w:hint="eastAsia" w:ascii="仿宋_GB2312" w:hAnsi="仿宋_GB2312" w:eastAsia="仿宋_GB2312"/>
          <w:color w:val="000000" w:themeColor="text1"/>
          <w:sz w:val="32"/>
          <w:szCs w:val="32"/>
          <w14:textFill>
            <w14:solidFill>
              <w14:schemeClr w14:val="tx1"/>
            </w14:solidFill>
          </w14:textFill>
        </w:rPr>
        <w:t>（责任部门：市能源局、市应急管理局，各旗区人民政府）</w:t>
      </w:r>
    </w:p>
    <w:bookmarkEnd w:id="10"/>
    <w:p w14:paraId="51A8249C">
      <w:pPr>
        <w:spacing w:after="0" w:line="360" w:lineRule="auto"/>
        <w:ind w:firstLine="643" w:firstLineChars="200"/>
        <w:rPr>
          <w:rFonts w:hint="eastAsia" w:ascii="仿宋_GB2312" w:hAnsi="仿宋_GB2312" w:eastAsia="仿宋_GB2312"/>
          <w:color w:val="000000" w:themeColor="text1"/>
          <w:sz w:val="32"/>
          <w:szCs w:val="32"/>
          <w14:textFill>
            <w14:solidFill>
              <w14:schemeClr w14:val="tx1"/>
            </w14:solidFill>
          </w14:textFill>
        </w:rPr>
      </w:pPr>
      <w:r>
        <w:rPr>
          <w:rFonts w:hint="eastAsia" w:ascii="楷体_GB2312" w:hAnsi="楷体_GB2312" w:eastAsia="楷体_GB2312"/>
          <w:b/>
          <w:bCs/>
          <w:color w:val="000000" w:themeColor="text1"/>
          <w:sz w:val="32"/>
          <w:szCs w:val="32"/>
          <w:lang w:bidi="ar"/>
          <w14:textFill>
            <w14:solidFill>
              <w14:schemeClr w14:val="tx1"/>
            </w14:solidFill>
          </w14:textFill>
        </w:rPr>
        <w:t>（十四）实行企业主要负责人报告制度。</w:t>
      </w:r>
      <w:r>
        <w:rPr>
          <w:rFonts w:hint="eastAsia" w:ascii="仿宋_GB2312" w:hAnsi="仿宋_GB2312" w:eastAsia="仿宋_GB2312"/>
          <w:color w:val="000000" w:themeColor="text1"/>
          <w:sz w:val="32"/>
          <w:szCs w:val="32"/>
          <w:lang w:bidi="ar"/>
          <w14:textFill>
            <w14:solidFill>
              <w14:schemeClr w14:val="tx1"/>
            </w14:solidFill>
          </w14:textFill>
        </w:rPr>
        <w:t>各能源企业主要负责人作为本单位生产经营的第一责任人，定期向市、旗区能源主管部门报告主体责任落实情况，主体责任报告内容要含合规建设、依法生产经营、政策落实、安全生产责任落实、地企矛盾纠纷解决等。市、旗区能源主管部门要按照监管权限对企业主要负责人履职情况开展监管评估，形成年度监管报告，提出监管意见，推送至</w:t>
      </w:r>
      <w:r>
        <w:rPr>
          <w:rFonts w:hint="eastAsia" w:ascii="仿宋_GB2312" w:hAnsi="仿宋_GB2312" w:eastAsia="仿宋_GB2312"/>
          <w:color w:val="000000" w:themeColor="text1"/>
          <w:sz w:val="32"/>
          <w:szCs w:val="32"/>
          <w14:textFill>
            <w14:solidFill>
              <w14:schemeClr w14:val="tx1"/>
            </w14:solidFill>
          </w14:textFill>
        </w:rPr>
        <w:t>自然资源、生态环境、水利、应急管理等相关部门和属地旗区政府</w:t>
      </w:r>
      <w:r>
        <w:rPr>
          <w:rFonts w:hint="eastAsia" w:ascii="仿宋_GB2312" w:hAnsi="仿宋_GB2312" w:eastAsia="仿宋_GB2312"/>
          <w:color w:val="000000" w:themeColor="text1"/>
          <w:sz w:val="32"/>
          <w:szCs w:val="32"/>
          <w:lang w:bidi="ar"/>
          <w14:textFill>
            <w14:solidFill>
              <w14:schemeClr w14:val="tx1"/>
            </w14:solidFill>
          </w14:textFill>
        </w:rPr>
        <w:t>，并建议上级公司将监管意见作为所属企业考核的依据；对工作落实不力造成重大影响的，提出调整管理人员建议。</w:t>
      </w:r>
      <w:r>
        <w:rPr>
          <w:rFonts w:hint="eastAsia" w:ascii="仿宋_GB2312" w:hAnsi="仿宋_GB2312" w:eastAsia="仿宋_GB2312"/>
          <w:color w:val="000000" w:themeColor="text1"/>
          <w:sz w:val="32"/>
          <w:szCs w:val="32"/>
          <w14:textFill>
            <w14:solidFill>
              <w14:schemeClr w14:val="tx1"/>
            </w14:solidFill>
          </w14:textFill>
        </w:rPr>
        <w:t>（责任部门：市能源局、市应急管理局、市自然资源局、市生态环境局、市水利局、市市场监督管理局，各旗区人民政府）</w:t>
      </w:r>
    </w:p>
    <w:p w14:paraId="5066B9AD">
      <w:pPr>
        <w:spacing w:after="0" w:line="360" w:lineRule="auto"/>
        <w:ind w:firstLine="640" w:firstLineChars="200"/>
        <w:rPr>
          <w:rFonts w:hint="eastAsia" w:ascii="仿宋_GB2312" w:hAnsi="仿宋_GB2312" w:eastAsia="仿宋_GB2312"/>
          <w:color w:val="000000" w:themeColor="text1"/>
          <w:sz w:val="32"/>
          <w:szCs w:val="32"/>
          <w14:textFill>
            <w14:solidFill>
              <w14:schemeClr w14:val="tx1"/>
            </w14:solidFill>
          </w14:textFill>
        </w:rPr>
      </w:pPr>
      <w:r>
        <w:rPr>
          <w:rFonts w:hint="eastAsia" w:ascii="仿宋_GB2312" w:hAnsi="仿宋_GB2312" w:eastAsia="仿宋_GB2312"/>
          <w:color w:val="000000" w:themeColor="text1"/>
          <w:sz w:val="32"/>
          <w:szCs w:val="32"/>
          <w14:textFill>
            <w14:solidFill>
              <w14:schemeClr w14:val="tx1"/>
            </w14:solidFill>
          </w14:textFill>
        </w:rPr>
        <w:t>本措施自印发之日起实施，有效期</w:t>
      </w:r>
      <w:r>
        <w:rPr>
          <w:rFonts w:hint="eastAsia" w:ascii="仿宋_GB2312" w:hAnsi="仿宋_GB2312" w:eastAsia="仿宋_GB2312"/>
          <w:color w:val="000000" w:themeColor="text1"/>
          <w:sz w:val="32"/>
          <w:szCs w:val="32"/>
          <w:lang w:val="en-US" w:eastAsia="zh-CN"/>
          <w14:textFill>
            <w14:solidFill>
              <w14:schemeClr w14:val="tx1"/>
            </w14:solidFill>
          </w14:textFill>
        </w:rPr>
        <w:t>2</w:t>
      </w:r>
      <w:r>
        <w:rPr>
          <w:rFonts w:hint="eastAsia" w:ascii="仿宋_GB2312" w:hAnsi="仿宋_GB2312" w:eastAsia="仿宋_GB2312"/>
          <w:color w:val="000000" w:themeColor="text1"/>
          <w:sz w:val="32"/>
          <w:szCs w:val="32"/>
          <w14:textFill>
            <w14:solidFill>
              <w14:schemeClr w14:val="tx1"/>
            </w14:solidFill>
          </w14:textFill>
        </w:rPr>
        <w:t>年，国家、自治区另有规定的，按照有关规定执行。</w:t>
      </w:r>
    </w:p>
    <w:p w14:paraId="3F4F9905">
      <w:pPr>
        <w:pStyle w:val="26"/>
        <w:spacing w:before="0" w:beforeAutospacing="0" w:after="0" w:afterAutospacing="0" w:line="360" w:lineRule="auto"/>
        <w:ind w:firstLine="643" w:firstLineChars="200"/>
        <w:jc w:val="both"/>
        <w:rPr>
          <w:rFonts w:hint="eastAsia" w:ascii="楷体_GB2312" w:hAnsi="楷体_GB2312" w:eastAsia="楷体_GB2312"/>
          <w:b/>
          <w:bCs/>
          <w:color w:val="000000" w:themeColor="text1"/>
          <w:sz w:val="32"/>
          <w:szCs w:val="32"/>
          <w:lang w:bidi="ar"/>
          <w14:textFill>
            <w14:solidFill>
              <w14:schemeClr w14:val="tx1"/>
            </w14:solidFill>
          </w14:textFill>
        </w:rPr>
      </w:pPr>
    </w:p>
    <w:p w14:paraId="1EA41B0E">
      <w:pPr>
        <w:pStyle w:val="26"/>
        <w:spacing w:before="0" w:beforeAutospacing="0" w:after="0" w:afterAutospacing="0" w:line="360" w:lineRule="auto"/>
        <w:ind w:firstLine="643" w:firstLineChars="200"/>
        <w:jc w:val="both"/>
        <w:rPr>
          <w:rFonts w:hint="eastAsia" w:ascii="楷体_GB2312" w:hAnsi="楷体_GB2312" w:eastAsia="楷体_GB2312"/>
          <w:b/>
          <w:bCs/>
          <w:color w:val="000000" w:themeColor="text1"/>
          <w:sz w:val="32"/>
          <w:szCs w:val="32"/>
          <w:lang w:bidi="ar"/>
          <w14:textFill>
            <w14:solidFill>
              <w14:schemeClr w14:val="tx1"/>
            </w14:solidFill>
          </w14:textFill>
        </w:rPr>
      </w:pPr>
    </w:p>
    <w:sectPr>
      <w:footerReference r:id="rId5" w:type="default"/>
      <w:pgSz w:w="11906" w:h="16838"/>
      <w:pgMar w:top="2098" w:right="1474" w:bottom="1701" w:left="1587" w:header="720" w:footer="720"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Garamond">
    <w:panose1 w:val="02020404030301010803"/>
    <w:charset w:val="00"/>
    <w:family w:val="roman"/>
    <w:pitch w:val="default"/>
    <w:sig w:usb0="00000287" w:usb1="00000000" w:usb2="00000000" w:usb3="00000000" w:csb0="0000009F" w:csb1="DFD70000"/>
  </w:font>
  <w:font w:name="Liberation Sans">
    <w:altName w:val="Arial"/>
    <w:panose1 w:val="00000000000000000000"/>
    <w:charset w:val="00"/>
    <w:family w:val="swiss"/>
    <w:pitch w:val="default"/>
    <w:sig w:usb0="00000000" w:usb1="00000000" w:usb2="00000000" w:usb3="00000000" w:csb0="6000009F" w:csb1="DFD70000"/>
  </w:font>
  <w:font w:name="Noto Sans CJK SC Regular">
    <w:altName w:val="微软雅黑"/>
    <w:panose1 w:val="00000000000000000000"/>
    <w:charset w:val="86"/>
    <w:family w:val="auto"/>
    <w:pitch w:val="default"/>
    <w:sig w:usb0="00000000" w:usb1="00000000" w:usb2="00000016" w:usb3="00000000" w:csb0="602E0107"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2010601030101010101"/>
    <w:charset w:val="86"/>
    <w:family w:val="script"/>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05464678"/>
    </w:sdtPr>
    <w:sdtContent>
      <w:p w14:paraId="21C554FE">
        <w:pPr>
          <w:pStyle w:val="5"/>
          <w:jc w:val="center"/>
        </w:pPr>
        <w:r>
          <w:fldChar w:fldCharType="begin"/>
        </w:r>
        <w:r>
          <w:instrText xml:space="preserve">PAGE   \* MERGEFORMAT</w:instrText>
        </w:r>
        <w:r>
          <w:fldChar w:fldCharType="separate"/>
        </w:r>
        <w:r>
          <w:rPr>
            <w:lang w:val="zh-CN"/>
          </w:rPr>
          <w:t>2</w:t>
        </w:r>
        <w:r>
          <w:fldChar w:fldCharType="end"/>
        </w:r>
      </w:p>
    </w:sdtContent>
  </w:sdt>
  <w:p w14:paraId="36E5A61B">
    <w:pPr>
      <w:pStyle w:val="19"/>
      <w:tabs>
        <w:tab w:val="clear" w:pos="4153"/>
        <w:tab w:val="clear" w:pos="8306"/>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bordersDoNotSurroundHeader w:val="1"/>
  <w:bordersDoNotSurroundFooter w:val="1"/>
  <w:documentProtection w:enforcement="0"/>
  <w:defaultTabStop w:val="420"/>
  <w:noPunctuationKerning w:val="1"/>
  <w:characterSpacingControl w:val="compressPunctuation"/>
  <w:footnotePr>
    <w:footnote w:id="0"/>
    <w:footnote w:id="1"/>
  </w:footnotePr>
  <w:endnotePr>
    <w:endnote w:id="0"/>
    <w:endnote w:id="1"/>
  </w:endnotePr>
  <w:compat>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k2ZTVlNDY4MWIyOTVlODdhOTcyZTY5YzM4MmY3MzEifQ=="/>
  </w:docVars>
  <w:rsids>
    <w:rsidRoot w:val="00F06E18"/>
    <w:rsid w:val="000072FB"/>
    <w:rsid w:val="00023D84"/>
    <w:rsid w:val="00032132"/>
    <w:rsid w:val="00047D14"/>
    <w:rsid w:val="00071BE2"/>
    <w:rsid w:val="0007720B"/>
    <w:rsid w:val="000817D2"/>
    <w:rsid w:val="00094AAA"/>
    <w:rsid w:val="0009611F"/>
    <w:rsid w:val="000D2AA2"/>
    <w:rsid w:val="000D7EA2"/>
    <w:rsid w:val="000E5E5C"/>
    <w:rsid w:val="000F1464"/>
    <w:rsid w:val="00101C6A"/>
    <w:rsid w:val="001050A2"/>
    <w:rsid w:val="001063E8"/>
    <w:rsid w:val="00112256"/>
    <w:rsid w:val="0011752B"/>
    <w:rsid w:val="00117DB3"/>
    <w:rsid w:val="00130AC2"/>
    <w:rsid w:val="00131EF1"/>
    <w:rsid w:val="00137281"/>
    <w:rsid w:val="001404A6"/>
    <w:rsid w:val="0014081A"/>
    <w:rsid w:val="0015643E"/>
    <w:rsid w:val="00165867"/>
    <w:rsid w:val="00165F03"/>
    <w:rsid w:val="0018144D"/>
    <w:rsid w:val="0019351A"/>
    <w:rsid w:val="00195383"/>
    <w:rsid w:val="001A370B"/>
    <w:rsid w:val="001B5957"/>
    <w:rsid w:val="001B7C88"/>
    <w:rsid w:val="001C1878"/>
    <w:rsid w:val="001C2CD7"/>
    <w:rsid w:val="001C703B"/>
    <w:rsid w:val="001D1CE4"/>
    <w:rsid w:val="001E61A8"/>
    <w:rsid w:val="001F1017"/>
    <w:rsid w:val="001F72D3"/>
    <w:rsid w:val="00207C4F"/>
    <w:rsid w:val="00211C34"/>
    <w:rsid w:val="00213BD6"/>
    <w:rsid w:val="0021551A"/>
    <w:rsid w:val="00242021"/>
    <w:rsid w:val="00247877"/>
    <w:rsid w:val="002515B8"/>
    <w:rsid w:val="002557F4"/>
    <w:rsid w:val="002602CD"/>
    <w:rsid w:val="002645D7"/>
    <w:rsid w:val="002B5A54"/>
    <w:rsid w:val="002E3458"/>
    <w:rsid w:val="002E4195"/>
    <w:rsid w:val="002F539D"/>
    <w:rsid w:val="003006D6"/>
    <w:rsid w:val="00320EFC"/>
    <w:rsid w:val="003373D4"/>
    <w:rsid w:val="00350BF2"/>
    <w:rsid w:val="003769D7"/>
    <w:rsid w:val="0038143C"/>
    <w:rsid w:val="003A4AEB"/>
    <w:rsid w:val="003D05C0"/>
    <w:rsid w:val="004129DA"/>
    <w:rsid w:val="004222F4"/>
    <w:rsid w:val="00430691"/>
    <w:rsid w:val="004472EC"/>
    <w:rsid w:val="00472188"/>
    <w:rsid w:val="00473A72"/>
    <w:rsid w:val="00491F34"/>
    <w:rsid w:val="00493D1E"/>
    <w:rsid w:val="004B01CD"/>
    <w:rsid w:val="004D245C"/>
    <w:rsid w:val="004E3991"/>
    <w:rsid w:val="004F1B46"/>
    <w:rsid w:val="004F6356"/>
    <w:rsid w:val="00526202"/>
    <w:rsid w:val="00526AC4"/>
    <w:rsid w:val="00531381"/>
    <w:rsid w:val="00542636"/>
    <w:rsid w:val="005520CD"/>
    <w:rsid w:val="00581888"/>
    <w:rsid w:val="00593D7A"/>
    <w:rsid w:val="005A4347"/>
    <w:rsid w:val="005B24E3"/>
    <w:rsid w:val="005D4802"/>
    <w:rsid w:val="005D57AF"/>
    <w:rsid w:val="005D7CBD"/>
    <w:rsid w:val="00602B14"/>
    <w:rsid w:val="00641284"/>
    <w:rsid w:val="006462E0"/>
    <w:rsid w:val="00654892"/>
    <w:rsid w:val="0067540B"/>
    <w:rsid w:val="006834A0"/>
    <w:rsid w:val="006B12F8"/>
    <w:rsid w:val="006B51D0"/>
    <w:rsid w:val="006C3223"/>
    <w:rsid w:val="006D0BF1"/>
    <w:rsid w:val="006D370A"/>
    <w:rsid w:val="00750B0C"/>
    <w:rsid w:val="0075745C"/>
    <w:rsid w:val="00760B12"/>
    <w:rsid w:val="00763C52"/>
    <w:rsid w:val="007671B6"/>
    <w:rsid w:val="0077284C"/>
    <w:rsid w:val="007925A9"/>
    <w:rsid w:val="007B6C1B"/>
    <w:rsid w:val="007E2CC0"/>
    <w:rsid w:val="007E492D"/>
    <w:rsid w:val="00803B9C"/>
    <w:rsid w:val="00820CE6"/>
    <w:rsid w:val="00825D7C"/>
    <w:rsid w:val="0082705A"/>
    <w:rsid w:val="00830AF8"/>
    <w:rsid w:val="008343CC"/>
    <w:rsid w:val="00844C88"/>
    <w:rsid w:val="00852A51"/>
    <w:rsid w:val="00860183"/>
    <w:rsid w:val="008616FE"/>
    <w:rsid w:val="00866C3D"/>
    <w:rsid w:val="008759FA"/>
    <w:rsid w:val="008822C9"/>
    <w:rsid w:val="008B00B7"/>
    <w:rsid w:val="008E1E4C"/>
    <w:rsid w:val="00915D25"/>
    <w:rsid w:val="00916774"/>
    <w:rsid w:val="009168D3"/>
    <w:rsid w:val="0093326F"/>
    <w:rsid w:val="00933681"/>
    <w:rsid w:val="009462F2"/>
    <w:rsid w:val="0094653B"/>
    <w:rsid w:val="009658FB"/>
    <w:rsid w:val="0097059D"/>
    <w:rsid w:val="009A0773"/>
    <w:rsid w:val="009A47DE"/>
    <w:rsid w:val="009B309D"/>
    <w:rsid w:val="009C67DC"/>
    <w:rsid w:val="009D0919"/>
    <w:rsid w:val="009E573B"/>
    <w:rsid w:val="00A03699"/>
    <w:rsid w:val="00A2427B"/>
    <w:rsid w:val="00A35FFD"/>
    <w:rsid w:val="00A40A71"/>
    <w:rsid w:val="00A62B4B"/>
    <w:rsid w:val="00A72EF7"/>
    <w:rsid w:val="00A851BF"/>
    <w:rsid w:val="00A86042"/>
    <w:rsid w:val="00A9700A"/>
    <w:rsid w:val="00B00EDA"/>
    <w:rsid w:val="00B30862"/>
    <w:rsid w:val="00B505EF"/>
    <w:rsid w:val="00B63D88"/>
    <w:rsid w:val="00BA218A"/>
    <w:rsid w:val="00BA3592"/>
    <w:rsid w:val="00BD0D52"/>
    <w:rsid w:val="00BD7F5E"/>
    <w:rsid w:val="00BE50B8"/>
    <w:rsid w:val="00BE7318"/>
    <w:rsid w:val="00C31CAA"/>
    <w:rsid w:val="00C351F9"/>
    <w:rsid w:val="00C46657"/>
    <w:rsid w:val="00C51BAF"/>
    <w:rsid w:val="00C5226E"/>
    <w:rsid w:val="00C56F59"/>
    <w:rsid w:val="00C753C4"/>
    <w:rsid w:val="00C86081"/>
    <w:rsid w:val="00C94320"/>
    <w:rsid w:val="00C97930"/>
    <w:rsid w:val="00CA0893"/>
    <w:rsid w:val="00CB7DC1"/>
    <w:rsid w:val="00D12F43"/>
    <w:rsid w:val="00D414A5"/>
    <w:rsid w:val="00D66C88"/>
    <w:rsid w:val="00D85C52"/>
    <w:rsid w:val="00D93415"/>
    <w:rsid w:val="00DB17E6"/>
    <w:rsid w:val="00DC15C7"/>
    <w:rsid w:val="00DD0A21"/>
    <w:rsid w:val="00E13B3D"/>
    <w:rsid w:val="00E20AFC"/>
    <w:rsid w:val="00E43C36"/>
    <w:rsid w:val="00E5054B"/>
    <w:rsid w:val="00E70A17"/>
    <w:rsid w:val="00E80520"/>
    <w:rsid w:val="00E828BC"/>
    <w:rsid w:val="00E82B6C"/>
    <w:rsid w:val="00E85ED9"/>
    <w:rsid w:val="00E86122"/>
    <w:rsid w:val="00E8642B"/>
    <w:rsid w:val="00E92AFB"/>
    <w:rsid w:val="00EA66FB"/>
    <w:rsid w:val="00EC33A2"/>
    <w:rsid w:val="00F06E18"/>
    <w:rsid w:val="00F11D05"/>
    <w:rsid w:val="00F1497F"/>
    <w:rsid w:val="00F25F6B"/>
    <w:rsid w:val="00F44E70"/>
    <w:rsid w:val="00F527F6"/>
    <w:rsid w:val="00F55C57"/>
    <w:rsid w:val="00F671E0"/>
    <w:rsid w:val="00F942E2"/>
    <w:rsid w:val="00FA2998"/>
    <w:rsid w:val="00FD6FB5"/>
    <w:rsid w:val="01E44311"/>
    <w:rsid w:val="06B27332"/>
    <w:rsid w:val="09D57431"/>
    <w:rsid w:val="0A9E62B1"/>
    <w:rsid w:val="0C30080D"/>
    <w:rsid w:val="0C68202D"/>
    <w:rsid w:val="0D214C6C"/>
    <w:rsid w:val="0D3037CB"/>
    <w:rsid w:val="0EA427A2"/>
    <w:rsid w:val="0FBB7833"/>
    <w:rsid w:val="119A5F07"/>
    <w:rsid w:val="162A2FDE"/>
    <w:rsid w:val="1B4B3DEE"/>
    <w:rsid w:val="1FB7B105"/>
    <w:rsid w:val="224868DF"/>
    <w:rsid w:val="26472449"/>
    <w:rsid w:val="27BF055A"/>
    <w:rsid w:val="283E0737"/>
    <w:rsid w:val="34F62376"/>
    <w:rsid w:val="397115E9"/>
    <w:rsid w:val="3A296AB5"/>
    <w:rsid w:val="3DA46103"/>
    <w:rsid w:val="3ED16371"/>
    <w:rsid w:val="3FFEC09F"/>
    <w:rsid w:val="424A6BB3"/>
    <w:rsid w:val="43B55488"/>
    <w:rsid w:val="4A723109"/>
    <w:rsid w:val="4BBD4A45"/>
    <w:rsid w:val="4C0519B6"/>
    <w:rsid w:val="4CE629A2"/>
    <w:rsid w:val="4FB93E93"/>
    <w:rsid w:val="51310AC5"/>
    <w:rsid w:val="51A167F5"/>
    <w:rsid w:val="51C671F0"/>
    <w:rsid w:val="525770FD"/>
    <w:rsid w:val="53DC5C5F"/>
    <w:rsid w:val="54E338AA"/>
    <w:rsid w:val="57904C4B"/>
    <w:rsid w:val="5D7BEC7E"/>
    <w:rsid w:val="5EC742B8"/>
    <w:rsid w:val="5FBA56D2"/>
    <w:rsid w:val="60C8384E"/>
    <w:rsid w:val="60F15760"/>
    <w:rsid w:val="611E8727"/>
    <w:rsid w:val="669453A6"/>
    <w:rsid w:val="68FF4976"/>
    <w:rsid w:val="6C6C06A9"/>
    <w:rsid w:val="6E04AD17"/>
    <w:rsid w:val="6E3C2B6A"/>
    <w:rsid w:val="6EFDF1B9"/>
    <w:rsid w:val="6FDF6EFE"/>
    <w:rsid w:val="758B012C"/>
    <w:rsid w:val="764E4DC7"/>
    <w:rsid w:val="782F5647"/>
    <w:rsid w:val="7A8524C2"/>
    <w:rsid w:val="7BB71672"/>
    <w:rsid w:val="7BF5621C"/>
    <w:rsid w:val="7CAC1243"/>
    <w:rsid w:val="7CCF3F4C"/>
    <w:rsid w:val="7EFF2BE7"/>
    <w:rsid w:val="7F4D04C5"/>
    <w:rsid w:val="7F7D58EC"/>
    <w:rsid w:val="7FC9B9E3"/>
    <w:rsid w:val="893DB3BC"/>
    <w:rsid w:val="9D4B5CFF"/>
    <w:rsid w:val="B7BCC853"/>
    <w:rsid w:val="BA7B23C6"/>
    <w:rsid w:val="BFFD0C2D"/>
    <w:rsid w:val="DF7D3F0C"/>
    <w:rsid w:val="EBDC13E5"/>
    <w:rsid w:val="EEE39199"/>
    <w:rsid w:val="F7D75F46"/>
    <w:rsid w:val="FA7FB68B"/>
    <w:rsid w:val="FADF781D"/>
    <w:rsid w:val="FCEBF17F"/>
    <w:rsid w:val="FE4F0395"/>
    <w:rsid w:val="FE734873"/>
    <w:rsid w:val="FEFDFC63"/>
    <w:rsid w:val="FEFFE0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uiPriority="99" w:name="heading 3"/>
    <w:lsdException w:qFormat="1" w:unhideWhenUsed="0" w:uiPriority="9" w:semiHidden="0" w:name="heading 4"/>
    <w:lsdException w:uiPriority="99" w:name="heading 5"/>
    <w:lsdException w:uiPriority="99" w:name="heading 6"/>
    <w:lsdException w:uiPriority="99" w:name="heading 7"/>
    <w:lsdException w:uiPriority="99" w:name="heading 8"/>
    <w:lsdException w:uiPriority="99" w:name="heading 9"/>
    <w:lsdException w:unhideWhenUsed="0" w:uiPriority="99" w:semiHidden="0" w:name="index 1"/>
    <w:lsdException w:unhideWhenUsed="0" w:uiPriority="99" w:semiHidden="0" w:name="index 2"/>
    <w:lsdException w:unhideWhenUsed="0" w:uiPriority="99" w:semiHidden="0" w:name="index 3"/>
    <w:lsdException w:unhideWhenUsed="0" w:uiPriority="99" w:semiHidden="0" w:name="index 4"/>
    <w:lsdException w:unhideWhenUsed="0" w:uiPriority="99" w:semiHidden="0" w:name="index 5"/>
    <w:lsdException w:unhideWhenUsed="0" w:uiPriority="99" w:semiHidden="0" w:name="index 6"/>
    <w:lsdException w:unhideWhenUsed="0" w:uiPriority="99" w:semiHidden="0" w:name="index 7"/>
    <w:lsdException w:unhideWhenUsed="0" w:uiPriority="99" w:semiHidden="0" w:name="index 8"/>
    <w:lsdException w:unhideWhenUsed="0" w:uiPriority="99" w:semiHidden="0" w:name="index 9"/>
    <w:lsdException w:unhideWhenUsed="0" w:uiPriority="99" w:semiHidden="0" w:name="toc 1"/>
    <w:lsdException w:unhideWhenUsed="0" w:uiPriority="99" w:semiHidden="0" w:name="toc 2"/>
    <w:lsdException w:unhideWhenUsed="0" w:uiPriority="99" w:semiHidden="0" w:name="toc 3"/>
    <w:lsdException w:unhideWhenUsed="0" w:uiPriority="99" w:semiHidden="0" w:name="toc 4"/>
    <w:lsdException w:unhideWhenUsed="0" w:uiPriority="99" w:semiHidden="0" w:name="toc 5"/>
    <w:lsdException w:unhideWhenUsed="0" w:uiPriority="99" w:semiHidden="0" w:name="toc 6"/>
    <w:lsdException w:unhideWhenUsed="0" w:uiPriority="99" w:semiHidden="0" w:name="toc 7"/>
    <w:lsdException w:unhideWhenUsed="0" w:uiPriority="99" w:semiHidden="0" w:name="toc 8"/>
    <w:lsdException w:unhideWhenUsed="0" w:uiPriority="99" w:semiHidden="0" w:name="toc 9"/>
    <w:lsdException w:unhideWhenUsed="0" w:uiPriority="99" w:semiHidden="0" w:name="Normal Indent"/>
    <w:lsdException w:unhideWhenUsed="0" w:uiPriority="99" w:semiHidden="0" w:name="footnote text"/>
    <w:lsdException w:unhideWhenUsed="0" w:uiPriority="99" w:semiHidden="0" w:name="annotation text"/>
    <w:lsdException w:qFormat="1" w:unhideWhenUsed="0" w:uiPriority="99" w:semiHidden="0" w:name="header"/>
    <w:lsdException w:qFormat="1" w:unhideWhenUsed="0" w:uiPriority="99" w:semiHidden="0" w:name="footer"/>
    <w:lsdException w:unhideWhenUsed="0" w:uiPriority="99" w:semiHidden="0" w:name="index heading"/>
    <w:lsdException w:uiPriority="99" w:name="caption"/>
    <w:lsdException w:unhideWhenUsed="0" w:uiPriority="99" w:semiHidden="0" w:name="table of figures"/>
    <w:lsdException w:unhideWhenUsed="0" w:uiPriority="99" w:semiHidden="0" w:name="envelope address"/>
    <w:lsdException w:unhideWhenUsed="0" w:uiPriority="99" w:semiHidden="0" w:name="envelope return"/>
    <w:lsdException w:unhideWhenUsed="0" w:uiPriority="99" w:semiHidden="0" w:name="footnote reference"/>
    <w:lsdException w:unhideWhenUsed="0" w:uiPriority="99" w:semiHidden="0" w:name="annotation reference"/>
    <w:lsdException w:unhideWhenUsed="0" w:uiPriority="99" w:semiHidden="0" w:name="line number"/>
    <w:lsdException w:unhideWhenUsed="0" w:uiPriority="99" w:semiHidden="0" w:name="page number"/>
    <w:lsdException w:unhideWhenUsed="0" w:uiPriority="99" w:semiHidden="0" w:name="endnote reference"/>
    <w:lsdException w:unhideWhenUsed="0" w:uiPriority="99" w:semiHidden="0" w:name="endnote text"/>
    <w:lsdException w:unhideWhenUsed="0" w:uiPriority="99" w:semiHidden="0" w:name="table of authorities"/>
    <w:lsdException w:unhideWhenUsed="0" w:uiPriority="99" w:semiHidden="0" w:name="macro"/>
    <w:lsdException w:unhideWhenUsed="0" w:uiPriority="99" w:semiHidden="0" w:name="toa heading"/>
    <w:lsdException w:unhideWhenUsed="0" w:uiPriority="99" w:semiHidden="0" w:name="List"/>
    <w:lsdException w:unhideWhenUsed="0" w:uiPriority="99" w:semiHidden="0" w:name="List Bullet"/>
    <w:lsdException w:unhideWhenUsed="0" w:uiPriority="99" w:semiHidden="0" w:name="List Number"/>
    <w:lsdException w:unhideWhenUsed="0" w:uiPriority="99" w:semiHidden="0" w:name="List 2"/>
    <w:lsdException w:unhideWhenUsed="0" w:uiPriority="99" w:semiHidden="0" w:name="List 3"/>
    <w:lsdException w:unhideWhenUsed="0" w:uiPriority="99" w:semiHidden="0" w:name="List 4"/>
    <w:lsdException w:unhideWhenUsed="0" w:uiPriority="99" w:semiHidden="0" w:name="List 5"/>
    <w:lsdException w:unhideWhenUsed="0" w:uiPriority="99" w:semiHidden="0" w:name="List Bullet 2"/>
    <w:lsdException w:unhideWhenUsed="0" w:uiPriority="99" w:semiHidden="0" w:name="List Bullet 3"/>
    <w:lsdException w:unhideWhenUsed="0" w:uiPriority="99" w:semiHidden="0" w:name="List Bullet 4"/>
    <w:lsdException w:unhideWhenUsed="0" w:uiPriority="99" w:semiHidden="0" w:name="List Bullet 5"/>
    <w:lsdException w:unhideWhenUsed="0" w:uiPriority="99" w:semiHidden="0" w:name="List Number 2"/>
    <w:lsdException w:unhideWhenUsed="0" w:uiPriority="99" w:semiHidden="0" w:name="List Number 3"/>
    <w:lsdException w:unhideWhenUsed="0" w:uiPriority="99" w:semiHidden="0" w:name="List Number 4"/>
    <w:lsdException w:unhideWhenUsed="0" w:uiPriority="99" w:semiHidden="0" w:name="List Number 5"/>
    <w:lsdException w:unhideWhenUsed="0" w:uiPriority="99" w:semiHidden="0" w:name="Title"/>
    <w:lsdException w:unhideWhenUsed="0" w:uiPriority="99" w:semiHidden="0" w:name="Closing"/>
    <w:lsdException w:unhideWhenUsed="0" w:uiPriority="99" w:semiHidden="0" w:name="Signature"/>
    <w:lsdException w:uiPriority="1" w:semiHidden="0" w:name="Default Paragraph Font"/>
    <w:lsdException w:unhideWhenUsed="0" w:uiPriority="99" w:semiHidden="0" w:name="Body Text"/>
    <w:lsdException w:unhideWhenUsed="0" w:uiPriority="99" w:semiHidden="0" w:name="Body Text Indent"/>
    <w:lsdException w:unhideWhenUsed="0" w:uiPriority="99" w:semiHidden="0" w:name="List Continue"/>
    <w:lsdException w:unhideWhenUsed="0" w:uiPriority="99" w:semiHidden="0" w:name="List Continue 2"/>
    <w:lsdException w:unhideWhenUsed="0" w:uiPriority="99" w:semiHidden="0" w:name="List Continue 3"/>
    <w:lsdException w:unhideWhenUsed="0" w:uiPriority="99" w:semiHidden="0" w:name="List Continue 4"/>
    <w:lsdException w:unhideWhenUsed="0" w:uiPriority="99" w:semiHidden="0" w:name="List Continue 5"/>
    <w:lsdException w:unhideWhenUsed="0" w:uiPriority="99" w:semiHidden="0" w:name="Message Header"/>
    <w:lsdException w:unhideWhenUsed="0" w:uiPriority="99" w:semiHidden="0" w:name="Subtitle"/>
    <w:lsdException w:unhideWhenUsed="0" w:uiPriority="99" w:semiHidden="0" w:name="Salutation"/>
    <w:lsdException w:unhideWhenUsed="0" w:uiPriority="99" w:semiHidden="0" w:name="Date"/>
    <w:lsdException w:unhideWhenUsed="0" w:uiPriority="99" w:semiHidden="0" w:name="Body Text First Indent"/>
    <w:lsdException w:unhideWhenUsed="0" w:uiPriority="99" w:semiHidden="0" w:name="Body Text First Indent 2"/>
    <w:lsdException w:unhideWhenUsed="0" w:uiPriority="99" w:semiHidden="0" w:name="Note Heading"/>
    <w:lsdException w:unhideWhenUsed="0" w:uiPriority="99" w:semiHidden="0" w:name="Body Text 2"/>
    <w:lsdException w:unhideWhenUsed="0" w:uiPriority="99" w:semiHidden="0" w:name="Body Text 3"/>
    <w:lsdException w:unhideWhenUsed="0" w:uiPriority="99" w:semiHidden="0" w:name="Body Text Indent 2"/>
    <w:lsdException w:unhideWhenUsed="0" w:uiPriority="99" w:semiHidden="0" w:name="Body Text Indent 3"/>
    <w:lsdException w:unhideWhenUsed="0" w:uiPriority="99" w:semiHidden="0" w:name="Block Text"/>
    <w:lsdException w:qFormat="1" w:unhideWhenUsed="0" w:uiPriority="99" w:semiHidden="0" w:name="Hyperlink"/>
    <w:lsdException w:unhideWhenUsed="0" w:uiPriority="99" w:semiHidden="0" w:name="FollowedHyperlink"/>
    <w:lsdException w:qFormat="1" w:unhideWhenUsed="0" w:uiPriority="99" w:semiHidden="0" w:name="Strong"/>
    <w:lsdException w:unhideWhenUsed="0" w:uiPriority="99" w:semiHidden="0" w:name="Emphasis"/>
    <w:lsdException w:unhideWhenUsed="0" w:uiPriority="99" w:semiHidden="0" w:name="Document Map"/>
    <w:lsdException w:unhideWhenUsed="0" w:uiPriority="99" w:semiHidden="0" w:name="Plain Text"/>
    <w:lsdException w:unhideWhenUsed="0" w:uiPriority="99" w:semiHidden="0" w:name="E-mail Signature"/>
    <w:lsdException w:qFormat="1" w:unhideWhenUsed="0" w:uiPriority="99" w:semiHidden="0" w:name="Normal (Web)"/>
    <w:lsdException w:unhideWhenUsed="0" w:uiPriority="99" w:semiHidden="0" w:name="HTML Acronym"/>
    <w:lsdException w:unhideWhenUsed="0" w:uiPriority="99" w:semiHidden="0" w:name="HTML Address"/>
    <w:lsdException w:unhideWhenUsed="0" w:uiPriority="99" w:semiHidden="0" w:name="HTML Cite"/>
    <w:lsdException w:unhideWhenUsed="0" w:uiPriority="99" w:semiHidden="0" w:name="HTML Code"/>
    <w:lsdException w:unhideWhenUsed="0" w:uiPriority="99" w:semiHidden="0" w:name="HTML Definition"/>
    <w:lsdException w:unhideWhenUsed="0" w:uiPriority="99" w:semiHidden="0" w:name="HTML Keyboard"/>
    <w:lsdException w:unhideWhenUsed="0" w:uiPriority="99" w:semiHidden="0" w:name="HTML Preformatted"/>
    <w:lsdException w:unhideWhenUsed="0" w:uiPriority="99" w:semiHidden="0" w:name="HTML Sample"/>
    <w:lsdException w:unhideWhenUsed="0" w:uiPriority="99" w:semiHidden="0" w:name="HTML Typewriter"/>
    <w:lsdException w:unhideWhenUsed="0" w:uiPriority="99" w:semiHidden="0" w:name="HTML Variable"/>
    <w:lsdException w:qFormat="1" w:uiPriority="99" w:name="Normal Table"/>
    <w:lsdException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99" w:semiHidden="0" w:name="Balloon Text"/>
    <w:lsdException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uppressAutoHyphens/>
      <w:spacing w:after="160" w:line="278" w:lineRule="auto"/>
      <w:jc w:val="both"/>
    </w:pPr>
    <w:rPr>
      <w:rFonts w:ascii="Calibri" w:hAnsi="Calibri" w:eastAsia="宋体" w:cs="Times New Roman"/>
      <w:kern w:val="2"/>
      <w:sz w:val="21"/>
      <w:szCs w:val="24"/>
      <w:lang w:val="en-US" w:eastAsia="zh-CN" w:bidi="ar-SA"/>
    </w:rPr>
  </w:style>
  <w:style w:type="paragraph" w:styleId="2">
    <w:name w:val="heading 1"/>
    <w:next w:val="1"/>
    <w:qFormat/>
    <w:uiPriority w:val="9"/>
    <w:pPr>
      <w:spacing w:after="160" w:line="278" w:lineRule="auto"/>
      <w:outlineLvl w:val="0"/>
    </w:pPr>
    <w:rPr>
      <w:rFonts w:ascii="Times New Roman" w:hAnsi="Times New Roman" w:eastAsia="宋体" w:cs="Times New Roman"/>
      <w:b/>
      <w:sz w:val="36"/>
      <w:lang w:val="en-US" w:eastAsia="zh-CN" w:bidi="ar-SA"/>
    </w:rPr>
  </w:style>
  <w:style w:type="paragraph" w:styleId="3">
    <w:name w:val="heading 2"/>
    <w:next w:val="1"/>
    <w:qFormat/>
    <w:uiPriority w:val="9"/>
    <w:pPr>
      <w:spacing w:after="160" w:line="278" w:lineRule="auto"/>
      <w:outlineLvl w:val="1"/>
    </w:pPr>
    <w:rPr>
      <w:rFonts w:ascii="Times New Roman" w:hAnsi="Times New Roman" w:eastAsia="宋体" w:cs="Times New Roman"/>
      <w:b/>
      <w:sz w:val="32"/>
      <w:lang w:val="en-US" w:eastAsia="zh-CN" w:bidi="ar-SA"/>
    </w:rPr>
  </w:style>
  <w:style w:type="paragraph" w:styleId="4">
    <w:name w:val="heading 4"/>
    <w:next w:val="1"/>
    <w:qFormat/>
    <w:uiPriority w:val="9"/>
    <w:pPr>
      <w:spacing w:after="160" w:line="278" w:lineRule="auto"/>
      <w:outlineLvl w:val="3"/>
    </w:pPr>
    <w:rPr>
      <w:rFonts w:ascii="Times New Roman" w:hAnsi="Times New Roman" w:eastAsia="宋体" w:cs="Times New Roman"/>
      <w:b/>
      <w:sz w:val="24"/>
      <w:lang w:val="en-US" w:eastAsia="zh-CN" w:bidi="ar-SA"/>
    </w:rPr>
  </w:style>
  <w:style w:type="character" w:default="1" w:styleId="9">
    <w:name w:val="Default Paragraph Font"/>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5">
    <w:name w:val="footer"/>
    <w:basedOn w:val="1"/>
    <w:link w:val="31"/>
    <w:qFormat/>
    <w:uiPriority w:val="99"/>
    <w:pPr>
      <w:tabs>
        <w:tab w:val="center" w:pos="4153"/>
        <w:tab w:val="right" w:pos="8306"/>
      </w:tabs>
      <w:snapToGrid w:val="0"/>
      <w:spacing w:line="240" w:lineRule="auto"/>
      <w:jc w:val="left"/>
    </w:pPr>
    <w:rPr>
      <w:sz w:val="18"/>
      <w:szCs w:val="18"/>
    </w:rPr>
  </w:style>
  <w:style w:type="paragraph" w:styleId="6">
    <w:name w:val="header"/>
    <w:basedOn w:val="1"/>
    <w:link w:val="30"/>
    <w:qFormat/>
    <w:uiPriority w:val="99"/>
    <w:pPr>
      <w:tabs>
        <w:tab w:val="center" w:pos="4153"/>
        <w:tab w:val="right" w:pos="8306"/>
      </w:tabs>
      <w:snapToGrid w:val="0"/>
      <w:spacing w:line="240" w:lineRule="auto"/>
      <w:jc w:val="center"/>
    </w:pPr>
    <w:rPr>
      <w:sz w:val="18"/>
      <w:szCs w:val="18"/>
    </w:rPr>
  </w:style>
  <w:style w:type="paragraph" w:styleId="7">
    <w:name w:val="Normal (Web)"/>
    <w:basedOn w:val="1"/>
    <w:qFormat/>
    <w:uiPriority w:val="99"/>
    <w:rPr>
      <w:rFonts w:ascii="Times New Roman" w:hAnsi="Times New Roman"/>
      <w:sz w:val="24"/>
    </w:rPr>
  </w:style>
  <w:style w:type="character" w:styleId="10">
    <w:name w:val="Strong"/>
    <w:basedOn w:val="9"/>
    <w:qFormat/>
    <w:uiPriority w:val="99"/>
    <w:rPr>
      <w:b/>
    </w:rPr>
  </w:style>
  <w:style w:type="character" w:styleId="11">
    <w:name w:val="Hyperlink"/>
    <w:basedOn w:val="9"/>
    <w:qFormat/>
    <w:uiPriority w:val="99"/>
    <w:rPr>
      <w:color w:val="0000FF" w:themeColor="hyperlink"/>
      <w:u w:val="single"/>
      <w14:textFill>
        <w14:solidFill>
          <w14:schemeClr w14:val="hlink"/>
        </w14:solidFill>
      </w14:textFill>
    </w:rPr>
  </w:style>
  <w:style w:type="character" w:customStyle="1" w:styleId="12">
    <w:name w:val="默认段落字体11"/>
    <w:qFormat/>
    <w:uiPriority w:val="0"/>
  </w:style>
  <w:style w:type="table" w:customStyle="1" w:styleId="13">
    <w:name w:val="普通表格1"/>
    <w:semiHidden/>
    <w:qFormat/>
    <w:uiPriority w:val="0"/>
    <w:tblPr>
      <w:tblCellMar>
        <w:top w:w="0" w:type="dxa"/>
        <w:left w:w="0" w:type="dxa"/>
        <w:bottom w:w="0" w:type="dxa"/>
        <w:right w:w="0" w:type="dxa"/>
      </w:tblCellMar>
    </w:tblPr>
  </w:style>
  <w:style w:type="paragraph" w:customStyle="1" w:styleId="14">
    <w:name w:val="_x0001_"/>
    <w:basedOn w:val="15"/>
    <w:qFormat/>
    <w:uiPriority w:val="0"/>
  </w:style>
  <w:style w:type="paragraph" w:customStyle="1" w:styleId="15">
    <w:name w:val="_Style 1"/>
    <w:basedOn w:val="1"/>
    <w:qFormat/>
    <w:uiPriority w:val="0"/>
    <w:pPr>
      <w:ind w:firstLine="420" w:firstLineChars="200"/>
    </w:pPr>
    <w:rPr>
      <w:rFonts w:ascii="Times New Roman" w:hAnsi="Times New Roman"/>
    </w:rPr>
  </w:style>
  <w:style w:type="paragraph" w:customStyle="1" w:styleId="16">
    <w:name w:val="_Style 3"/>
    <w:basedOn w:val="1"/>
    <w:qFormat/>
    <w:uiPriority w:val="0"/>
    <w:pPr>
      <w:widowControl/>
    </w:pPr>
    <w:rPr>
      <w:rFonts w:ascii="Garamond" w:hAnsi="Garamond"/>
      <w:kern w:val="18"/>
      <w:szCs w:val="20"/>
      <w:lang w:bidi="he-IL"/>
    </w:rPr>
  </w:style>
  <w:style w:type="paragraph" w:customStyle="1" w:styleId="17">
    <w:name w:val="题注1"/>
    <w:basedOn w:val="1"/>
    <w:qFormat/>
    <w:uiPriority w:val="0"/>
    <w:pPr>
      <w:suppressLineNumbers/>
      <w:spacing w:before="120" w:after="120"/>
    </w:pPr>
    <w:rPr>
      <w:i/>
      <w:iCs/>
      <w:sz w:val="24"/>
    </w:rPr>
  </w:style>
  <w:style w:type="paragraph" w:customStyle="1" w:styleId="18">
    <w:name w:val="正文文本1"/>
    <w:basedOn w:val="1"/>
    <w:qFormat/>
    <w:uiPriority w:val="0"/>
    <w:pPr>
      <w:spacing w:after="140" w:line="276" w:lineRule="auto"/>
    </w:pPr>
  </w:style>
  <w:style w:type="paragraph" w:customStyle="1" w:styleId="19">
    <w:name w:val="页脚1"/>
    <w:basedOn w:val="1"/>
    <w:qFormat/>
    <w:uiPriority w:val="0"/>
    <w:pPr>
      <w:tabs>
        <w:tab w:val="center" w:pos="4153"/>
        <w:tab w:val="right" w:pos="8306"/>
      </w:tabs>
      <w:snapToGrid w:val="0"/>
      <w:jc w:val="left"/>
    </w:pPr>
    <w:rPr>
      <w:sz w:val="18"/>
    </w:rPr>
  </w:style>
  <w:style w:type="paragraph" w:customStyle="1" w:styleId="20">
    <w:name w:val="页眉1"/>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customStyle="1" w:styleId="21">
    <w:name w:val="列表1"/>
    <w:basedOn w:val="18"/>
    <w:qFormat/>
    <w:uiPriority w:val="0"/>
  </w:style>
  <w:style w:type="paragraph" w:customStyle="1" w:styleId="22">
    <w:name w:val="HTML 预设格式1"/>
    <w:basedOn w:val="1"/>
    <w:link w:val="23"/>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character" w:customStyle="1" w:styleId="23">
    <w:name w:val="HTML 预设格式 字符"/>
    <w:link w:val="22"/>
    <w:qFormat/>
    <w:uiPriority w:val="0"/>
    <w:rPr>
      <w:rFonts w:ascii="宋体" w:hAnsi="宋体"/>
      <w:sz w:val="24"/>
      <w:szCs w:val="24"/>
    </w:rPr>
  </w:style>
  <w:style w:type="paragraph" w:customStyle="1" w:styleId="24">
    <w:name w:val="普通(网站)11"/>
    <w:basedOn w:val="1"/>
    <w:qFormat/>
    <w:uiPriority w:val="0"/>
    <w:pPr>
      <w:spacing w:before="100" w:beforeAutospacing="1" w:after="100" w:afterAutospacing="1"/>
      <w:jc w:val="left"/>
    </w:pPr>
    <w:rPr>
      <w:kern w:val="0"/>
      <w:sz w:val="24"/>
    </w:rPr>
  </w:style>
  <w:style w:type="character" w:customStyle="1" w:styleId="25">
    <w:name w:val="默认段落字体1"/>
    <w:qFormat/>
    <w:uiPriority w:val="0"/>
  </w:style>
  <w:style w:type="paragraph" w:customStyle="1" w:styleId="26">
    <w:name w:val="普通(网站)1"/>
    <w:basedOn w:val="1"/>
    <w:qFormat/>
    <w:uiPriority w:val="0"/>
    <w:pPr>
      <w:spacing w:before="100" w:beforeAutospacing="1" w:after="100" w:afterAutospacing="1"/>
      <w:jc w:val="left"/>
    </w:pPr>
    <w:rPr>
      <w:kern w:val="0"/>
      <w:sz w:val="24"/>
    </w:rPr>
  </w:style>
  <w:style w:type="paragraph" w:customStyle="1" w:styleId="27">
    <w:name w:val="Index"/>
    <w:basedOn w:val="1"/>
    <w:qFormat/>
    <w:uiPriority w:val="0"/>
    <w:pPr>
      <w:suppressLineNumbers/>
    </w:pPr>
  </w:style>
  <w:style w:type="paragraph" w:customStyle="1" w:styleId="28">
    <w:name w:val="Heading"/>
    <w:basedOn w:val="1"/>
    <w:qFormat/>
    <w:uiPriority w:val="0"/>
    <w:pPr>
      <w:keepNext/>
      <w:spacing w:before="240" w:after="120"/>
    </w:pPr>
    <w:rPr>
      <w:rFonts w:ascii="Liberation Sans" w:hAnsi="Liberation Sans" w:eastAsia="Noto Sans CJK SC Regular"/>
      <w:sz w:val="28"/>
      <w:szCs w:val="28"/>
    </w:rPr>
  </w:style>
  <w:style w:type="character" w:customStyle="1" w:styleId="29">
    <w:name w:val="标题 4 字符"/>
    <w:basedOn w:val="9"/>
    <w:qFormat/>
    <w:uiPriority w:val="9"/>
    <w:rPr>
      <w:b/>
      <w:sz w:val="24"/>
    </w:rPr>
  </w:style>
  <w:style w:type="character" w:customStyle="1" w:styleId="30">
    <w:name w:val="页眉 字符"/>
    <w:basedOn w:val="9"/>
    <w:link w:val="6"/>
    <w:qFormat/>
    <w:uiPriority w:val="99"/>
    <w:rPr>
      <w:rFonts w:ascii="Calibri" w:hAnsi="Calibri"/>
      <w:kern w:val="2"/>
      <w:sz w:val="18"/>
      <w:szCs w:val="18"/>
    </w:rPr>
  </w:style>
  <w:style w:type="character" w:customStyle="1" w:styleId="31">
    <w:name w:val="页脚 字符"/>
    <w:basedOn w:val="9"/>
    <w:link w:val="5"/>
    <w:qFormat/>
    <w:uiPriority w:val="99"/>
    <w:rPr>
      <w:rFonts w:ascii="Calibri" w:hAnsi="Calibri"/>
      <w:kern w:val="2"/>
      <w:sz w:val="18"/>
      <w:szCs w:val="18"/>
    </w:rPr>
  </w:style>
  <w:style w:type="character" w:customStyle="1" w:styleId="32">
    <w:name w:val="未处理的提及1"/>
    <w:basedOn w:val="9"/>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satMod val="300000"/>
                <a:tint val="50000"/>
              </a:schemeClr>
            </a:gs>
            <a:gs pos="35000">
              <a:schemeClr val="phClr">
                <a:satMod val="300000"/>
                <a:tint val="37000"/>
              </a:schemeClr>
            </a:gs>
            <a:gs pos="100000">
              <a:schemeClr val="phClr">
                <a:satMod val="350000"/>
                <a:tint val="15000"/>
              </a:schemeClr>
            </a:gs>
          </a:gsLst>
          <a:lin ang="16200000" scaled="1"/>
        </a:gradFill>
        <a:gradFill rotWithShape="1">
          <a:gsLst>
            <a:gs pos="0">
              <a:schemeClr val="phClr">
                <a:satMod val="130000"/>
                <a:shade val="51000"/>
              </a:schemeClr>
            </a:gs>
            <a:gs pos="80000">
              <a:schemeClr val="phClr">
                <a:satMod val="130000"/>
                <a:shade val="93000"/>
              </a:schemeClr>
            </a:gs>
            <a:gs pos="100000">
              <a:schemeClr val="phClr">
                <a:satMod val="135000"/>
                <a:shade val="94000"/>
              </a:schemeClr>
            </a:gs>
          </a:gsLst>
          <a:lin ang="16200000" scaled="0"/>
        </a:gradFill>
      </a:fillStyleLst>
      <a:lnStyleLst>
        <a:ln w="9525" cap="flat" cmpd="sng" algn="ctr">
          <a:solidFill>
            <a:schemeClr val="phClr">
              <a:satMod val="105000"/>
              <a:shade val="9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atMod val="350000"/>
                <a:tint val="40000"/>
              </a:schemeClr>
            </a:gs>
            <a:gs pos="40000">
              <a:schemeClr val="phClr">
                <a:satMod val="350000"/>
                <a:shade val="99000"/>
                <a:tint val="45000"/>
              </a:schemeClr>
            </a:gs>
            <a:gs pos="100000">
              <a:schemeClr val="phClr">
                <a:satMod val="255000"/>
                <a:shade val="20000"/>
              </a:schemeClr>
            </a:gs>
          </a:gsLst>
          <a:path path="circle">
            <a:fillToRect l="50000" t="-80000" r="50000" b="180000"/>
          </a:path>
        </a:gradFill>
        <a:gradFill rotWithShape="1">
          <a:gsLst>
            <a:gs pos="0">
              <a:schemeClr val="phClr">
                <a:satMod val="300000"/>
                <a:tint val="80000"/>
              </a:schemeClr>
            </a:gs>
            <a:gs pos="100000">
              <a:schemeClr val="phClr">
                <a:satMod val="200000"/>
                <a:shade val="3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3476</Words>
  <Characters>3505</Characters>
  <Lines>24</Lines>
  <Paragraphs>6</Paragraphs>
  <TotalTime>6</TotalTime>
  <ScaleCrop>false</ScaleCrop>
  <LinksUpToDate>false</LinksUpToDate>
  <CharactersWithSpaces>3505</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2025-03-27T19:33:00Z</dcterms:created>
  <dc:creator>二毛</dc:creator>
  <cp:lastModifiedBy>文诗凯</cp:lastModifiedBy>
  <cp:lastPrinted>2025-04-15T01:31:00Z</cp:lastPrinted>
  <dcterms:modified xsi:type="dcterms:W3CDTF">2025-04-16T03:42:08Z</dcterms:modified>
  <cp:revision>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eyJoZGlkIjoiY2EzYTg1ZjhhNjkxM2I1NGViMDA3ZTlmYWRiMGFkNmUiLCJ1c2VySWQiOiIzNjYxMjMwMzYifQ==</vt:lpwstr>
  </property>
  <property fmtid="{D5CDD505-2E9C-101B-9397-08002B2CF9AE}" pid="3" name="KSOProductBuildVer">
    <vt:lpwstr>2052-12.1.0.20305</vt:lpwstr>
  </property>
  <property fmtid="{D5CDD505-2E9C-101B-9397-08002B2CF9AE}" pid="4" name="ICV">
    <vt:lpwstr>EF69B9D832444670A46663DA31C4700F_13</vt:lpwstr>
  </property>
</Properties>
</file>